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E5377" w14:textId="77777777" w:rsidR="00CB336C" w:rsidRDefault="00507BDB">
      <w:pPr>
        <w:spacing w:after="140"/>
        <w:jc w:val="center"/>
      </w:pPr>
      <w:r>
        <w:rPr>
          <w:rFonts w:ascii="Cambria" w:eastAsia="Cambria" w:hAnsi="Cambria" w:cs="Cambria"/>
          <w:caps/>
          <w:color w:val="555555"/>
          <w:spacing w:val="60"/>
          <w:sz w:val="18"/>
          <w:szCs w:val="18"/>
        </w:rPr>
        <w:t>Whitepaper</w:t>
      </w:r>
    </w:p>
    <w:p w14:paraId="451E5378" w14:textId="77777777" w:rsidR="00CB336C" w:rsidRDefault="00507BDB">
      <w:pPr>
        <w:spacing w:after="70"/>
        <w:jc w:val="center"/>
      </w:pPr>
      <w:r>
        <w:rPr>
          <w:rFonts w:ascii="Cambria" w:eastAsia="Cambria" w:hAnsi="Cambria" w:cs="Cambria"/>
          <w:b/>
          <w:bCs/>
          <w:color w:val="1A1A1A"/>
          <w:sz w:val="38"/>
          <w:szCs w:val="38"/>
        </w:rPr>
        <w:t>Electromagnetic Force Protection</w:t>
      </w:r>
    </w:p>
    <w:p w14:paraId="451E5379" w14:textId="77777777" w:rsidR="00CB336C" w:rsidRDefault="00507BDB">
      <w:pPr>
        <w:pBdr>
          <w:bottom w:val="single" w:sz="4" w:space="10" w:color="1A1A1A"/>
        </w:pBdr>
        <w:spacing w:after="180"/>
        <w:jc w:val="center"/>
        <w:rPr>
          <w:rFonts w:ascii="Cambria" w:eastAsia="Cambria" w:hAnsi="Cambria" w:cs="Cambria"/>
          <w:i/>
          <w:iCs/>
          <w:color w:val="1A1A1A"/>
          <w:sz w:val="22"/>
          <w:szCs w:val="22"/>
        </w:rPr>
      </w:pPr>
      <w:r>
        <w:rPr>
          <w:rFonts w:ascii="Cambria" w:eastAsia="Cambria" w:hAnsi="Cambria" w:cs="Cambria"/>
          <w:i/>
          <w:iCs/>
          <w:color w:val="1A1A1A"/>
          <w:sz w:val="22"/>
          <w:szCs w:val="22"/>
        </w:rPr>
        <w:t>Distributed electromagnetic sensing across the force</w:t>
      </w:r>
    </w:p>
    <w:p w14:paraId="1571359C" w14:textId="7D49A6D2" w:rsidR="00E273CC" w:rsidRDefault="00E273CC">
      <w:pPr>
        <w:pBdr>
          <w:bottom w:val="single" w:sz="4" w:space="10" w:color="1A1A1A"/>
        </w:pBdr>
        <w:spacing w:after="180"/>
        <w:jc w:val="center"/>
      </w:pPr>
      <w:r>
        <w:rPr>
          <w:rFonts w:ascii="Cambria" w:eastAsia="Cambria" w:hAnsi="Cambria" w:cs="Cambria"/>
          <w:i/>
          <w:iCs/>
          <w:color w:val="1A1A1A"/>
          <w:sz w:val="22"/>
          <w:szCs w:val="22"/>
        </w:rPr>
        <w:t>J. Stredwick</w:t>
      </w:r>
    </w:p>
    <w:p w14:paraId="451E537A" w14:textId="37238388" w:rsidR="00CB336C" w:rsidRDefault="00507BDB">
      <w:pPr>
        <w:spacing w:after="190" w:line="255" w:lineRule="auto"/>
        <w:ind w:left="200" w:right="200"/>
      </w:pPr>
      <w:r>
        <w:rPr>
          <w:rFonts w:ascii="Cambria" w:eastAsia="Cambria" w:hAnsi="Cambria" w:cs="Cambria"/>
          <w:i/>
          <w:iCs/>
          <w:color w:val="333333"/>
        </w:rPr>
        <w:t>In Iraq and Afghanistan</w:t>
      </w:r>
      <w:r w:rsidR="006E2DB6">
        <w:rPr>
          <w:rFonts w:ascii="Cambria" w:eastAsia="Cambria" w:hAnsi="Cambria" w:cs="Cambria"/>
          <w:i/>
          <w:iCs/>
          <w:color w:val="333333"/>
        </w:rPr>
        <w:t>,</w:t>
      </w:r>
      <w:r>
        <w:rPr>
          <w:rFonts w:ascii="Cambria" w:eastAsia="Cambria" w:hAnsi="Cambria" w:cs="Cambria"/>
          <w:i/>
          <w:iCs/>
          <w:color w:val="333333"/>
        </w:rPr>
        <w:t xml:space="preserve"> the coalition answered a radio-triggered weapon by fitting protection to every exposed platform. The spectrum threat has returned in a different form, and Defence needs a new answer to it.</w:t>
      </w:r>
    </w:p>
    <w:p w14:paraId="451E537B" w14:textId="77777777" w:rsidR="00CB336C" w:rsidRDefault="00507BDB">
      <w:pPr>
        <w:pStyle w:val="Heading1"/>
        <w:keepNext/>
        <w:spacing w:before="195" w:after="88"/>
      </w:pPr>
      <w:r>
        <w:rPr>
          <w:rFonts w:ascii="Cambria" w:eastAsia="Cambria" w:hAnsi="Cambria" w:cs="Cambria"/>
          <w:b/>
          <w:bCs/>
          <w:color w:val="1A1A1A"/>
          <w:sz w:val="23"/>
          <w:szCs w:val="23"/>
        </w:rPr>
        <w:t>Summary</w:t>
      </w:r>
    </w:p>
    <w:p w14:paraId="451E537C" w14:textId="65230CFC" w:rsidR="00CB336C" w:rsidRDefault="00507BDB">
      <w:pPr>
        <w:spacing w:after="100" w:line="246" w:lineRule="auto"/>
      </w:pPr>
      <w:r>
        <w:rPr>
          <w:rFonts w:ascii="Cambria" w:eastAsia="Cambria" w:hAnsi="Cambria" w:cs="Cambria"/>
        </w:rPr>
        <w:t xml:space="preserve">In </w:t>
      </w:r>
      <w:r w:rsidR="006E2DB6">
        <w:rPr>
          <w:rFonts w:ascii="Cambria" w:eastAsia="Cambria" w:hAnsi="Cambria" w:cs="Cambria"/>
        </w:rPr>
        <w:t>recent conflicts,</w:t>
      </w:r>
      <w:r>
        <w:rPr>
          <w:rFonts w:ascii="Cambria" w:eastAsia="Cambria" w:hAnsi="Cambria" w:cs="Cambria"/>
        </w:rPr>
        <w:t xml:space="preserve"> the most dangerous weapon on the road was triggered by an ordinary commercial radio. A mobile telephone or a cheap two-way handset was enough to initiate a buried charge.</w:t>
      </w:r>
      <w:r>
        <w:rPr>
          <w:rFonts w:ascii="Cambria" w:eastAsia="Cambria" w:hAnsi="Cambria" w:cs="Cambria"/>
          <w:sz w:val="16"/>
          <w:szCs w:val="16"/>
          <w:vertAlign w:val="superscript"/>
        </w:rPr>
        <w:t>[1]</w:t>
      </w:r>
    </w:p>
    <w:p w14:paraId="451E537D" w14:textId="77777777" w:rsidR="00CB336C" w:rsidRDefault="00507BDB">
      <w:pPr>
        <w:spacing w:after="100" w:line="246" w:lineRule="auto"/>
      </w:pPr>
      <w:r>
        <w:rPr>
          <w:rFonts w:ascii="Cambria" w:eastAsia="Cambria" w:hAnsi="Cambria" w:cs="Cambria"/>
        </w:rPr>
        <w:t>The coalition did not answer it by expanding the electronic warfare corps. It fitted jammers to the platforms that were already exposed. Counter radio-controlled IED electronic warfare, known as CREW, went onto vehicles and onto dismounted troops in quantity. The soldiers who carried it were never asked to become electronic warfare operators. Specialists maintained the threat libraries from the rear and maintainers kept the fleet serviceable. The protected force benefited from a capability it did not need t</w:t>
      </w:r>
      <w:r>
        <w:rPr>
          <w:rFonts w:ascii="Cambria" w:eastAsia="Cambria" w:hAnsi="Cambria" w:cs="Cambria"/>
        </w:rPr>
        <w:t>o understand.</w:t>
      </w:r>
    </w:p>
    <w:p w14:paraId="451E537E" w14:textId="77777777" w:rsidR="00CB336C" w:rsidRDefault="00507BDB">
      <w:pPr>
        <w:spacing w:after="100" w:line="246" w:lineRule="auto"/>
      </w:pPr>
      <w:r>
        <w:rPr>
          <w:rFonts w:ascii="Cambria" w:eastAsia="Cambria" w:hAnsi="Cambria" w:cs="Cambria"/>
        </w:rPr>
        <w:t>The threat has since changed form. Ukraine has shown units located by their own emissions and struck within minutes. Uncrewed aircraft loiter overhead while their control links radiate continuously. Jamming is routine, and satellite navigation is denied as a matter of course. Both sides now trace a drone's control link back to its operator, then put fire onto the operator rather than just onto the aircraft.</w:t>
      </w:r>
      <w:r>
        <w:rPr>
          <w:rFonts w:ascii="Cambria" w:eastAsia="Cambria" w:hAnsi="Cambria" w:cs="Cambria"/>
          <w:sz w:val="16"/>
          <w:szCs w:val="16"/>
          <w:vertAlign w:val="superscript"/>
        </w:rPr>
        <w:t>[2]</w:t>
      </w:r>
    </w:p>
    <w:p w14:paraId="451E537F" w14:textId="77777777" w:rsidR="00CB336C" w:rsidRDefault="00507BDB">
      <w:pPr>
        <w:spacing w:after="100" w:line="246" w:lineRule="auto"/>
      </w:pPr>
      <w:r>
        <w:rPr>
          <w:rFonts w:ascii="Cambria" w:eastAsia="Cambria" w:hAnsi="Cambria" w:cs="Cambria"/>
        </w:rPr>
        <w:t>None of this is a formation-level problem. It reaches the combat team, the patrol base and the dispersed airfield. The elements most exposed to it are the least able to see it. Electronic support remains a scarce asset, held centrally and requested rather than carried.</w:t>
      </w:r>
    </w:p>
    <w:p w14:paraId="451E5380" w14:textId="2D1AF344" w:rsidR="00CB336C" w:rsidRDefault="00507BDB">
      <w:pPr>
        <w:spacing w:after="100" w:line="246" w:lineRule="auto"/>
      </w:pPr>
      <w:r>
        <w:rPr>
          <w:rFonts w:ascii="Cambria" w:eastAsia="Cambria" w:hAnsi="Cambria" w:cs="Cambria"/>
        </w:rPr>
        <w:t xml:space="preserve">There is a case for treating the spectrum as a force protection problem, </w:t>
      </w:r>
      <w:r w:rsidR="00E273CC">
        <w:rPr>
          <w:rFonts w:ascii="Cambria" w:eastAsia="Cambria" w:hAnsi="Cambria" w:cs="Cambria"/>
        </w:rPr>
        <w:t>as Defence already treats physical security, camouflage,</w:t>
      </w:r>
      <w:r>
        <w:rPr>
          <w:rFonts w:ascii="Cambria" w:eastAsia="Cambria" w:hAnsi="Cambria" w:cs="Cambria"/>
        </w:rPr>
        <w:t xml:space="preserve"> and counter-IED protection. This paper calls that electromagnetic force protection, or EMFP. It is not just a counter-drone measure; it is counter-radiofrequency. Drone control links are only the most visible of the emitters that matter; jammers, datalinks, patrol radios and other unexpected RF activity matter as much. Breadth of that kind requires receivers that scan widely, detect what is present and classify it, rather than watch a short list of channels.</w:t>
      </w:r>
    </w:p>
    <w:p w14:paraId="451E5381" w14:textId="77777777" w:rsidR="00CB336C" w:rsidRDefault="00507BDB">
      <w:pPr>
        <w:spacing w:after="100" w:line="246" w:lineRule="auto"/>
      </w:pPr>
      <w:r>
        <w:rPr>
          <w:rFonts w:ascii="Cambria" w:eastAsia="Cambria" w:hAnsi="Cambria" w:cs="Cambria"/>
        </w:rPr>
        <w:t>The capability also has to be distributed. Many identical low-cost receivers, sited across the platforms a unit already occupies, would exchange compact conclusions rather than raw intercept. Accuracy improves as those sensors multiply and spread. Ukraine has fielded the same employment model in another modality, linking thousands of cheap acoustic sensors into a recognised air picture.</w:t>
      </w:r>
      <w:r>
        <w:rPr>
          <w:rFonts w:ascii="Cambria" w:eastAsia="Cambria" w:hAnsi="Cambria" w:cs="Cambria"/>
          <w:sz w:val="16"/>
          <w:szCs w:val="16"/>
          <w:vertAlign w:val="superscript"/>
        </w:rPr>
        <w:t>[3,4]</w:t>
      </w:r>
      <w:r>
        <w:rPr>
          <w:rFonts w:ascii="Cambria" w:eastAsia="Cambria" w:hAnsi="Cambria" w:cs="Cambria"/>
        </w:rPr>
        <w:t xml:space="preserve"> What no force has demonstrated at scale is the equivalent in the radio-frequency domain.</w:t>
      </w:r>
    </w:p>
    <w:p w14:paraId="451E5382" w14:textId="77777777" w:rsidR="00CB336C" w:rsidRDefault="00507BDB">
      <w:pPr>
        <w:spacing w:after="100" w:line="246" w:lineRule="auto"/>
      </w:pPr>
      <w:r>
        <w:rPr>
          <w:rFonts w:ascii="Cambria" w:eastAsia="Cambria" w:hAnsi="Cambria" w:cs="Cambria"/>
        </w:rPr>
        <w:t>On the evidence of the last three years, electromagnetic force protection is a requirement in its own right. It belongs beside camouflage, hardening and route clearance as part of protecting a deployed element.</w:t>
      </w:r>
    </w:p>
    <w:p w14:paraId="451E5383" w14:textId="77777777" w:rsidR="00CB336C" w:rsidRDefault="00507BDB">
      <w:pPr>
        <w:pStyle w:val="Heading1"/>
        <w:keepNext/>
        <w:spacing w:before="195" w:after="88"/>
      </w:pPr>
      <w:r>
        <w:rPr>
          <w:rFonts w:ascii="Cambria" w:eastAsia="Cambria" w:hAnsi="Cambria" w:cs="Cambria"/>
          <w:b/>
          <w:bCs/>
          <w:color w:val="1A1A1A"/>
          <w:sz w:val="23"/>
          <w:szCs w:val="23"/>
        </w:rPr>
        <w:t>1. What the counter-IED campaign got right</w:t>
      </w:r>
    </w:p>
    <w:p w14:paraId="451E5384" w14:textId="77777777" w:rsidR="00CB336C" w:rsidRDefault="00507BDB">
      <w:pPr>
        <w:spacing w:after="100" w:line="246" w:lineRule="auto"/>
      </w:pPr>
      <w:r>
        <w:rPr>
          <w:rFonts w:ascii="Cambria" w:eastAsia="Cambria" w:hAnsi="Cambria" w:cs="Cambria"/>
        </w:rPr>
        <w:t>Improvised explosive devices became a major source of coalition casualties.</w:t>
      </w:r>
      <w:r>
        <w:rPr>
          <w:rFonts w:ascii="Cambria" w:eastAsia="Cambria" w:hAnsi="Cambria" w:cs="Cambria"/>
          <w:sz w:val="16"/>
          <w:szCs w:val="16"/>
          <w:vertAlign w:val="superscript"/>
        </w:rPr>
        <w:t>[5]</w:t>
      </w:r>
      <w:r>
        <w:rPr>
          <w:rFonts w:ascii="Cambria" w:eastAsia="Cambria" w:hAnsi="Cambria" w:cs="Cambria"/>
        </w:rPr>
        <w:t xml:space="preserve"> The threat multiplied faster than any specialist organisation could be grown to meet it, and electronic warfare units could not be present on every route a convoy used.</w:t>
      </w:r>
    </w:p>
    <w:p w14:paraId="451E5385" w14:textId="77777777" w:rsidR="00CB336C" w:rsidRDefault="00507BDB">
      <w:pPr>
        <w:spacing w:after="100" w:line="246" w:lineRule="auto"/>
      </w:pPr>
      <w:r>
        <w:rPr>
          <w:rFonts w:ascii="Cambria" w:eastAsia="Cambria" w:hAnsi="Cambria" w:cs="Cambria"/>
        </w:rPr>
        <w:t>What worked was an inversion of the usual model. Rather than move the specialist towards the threat, the force put protection onto the platforms already meeting it. CREW jammers were carried on vehicles and by dismounted troops.</w:t>
      </w:r>
      <w:r>
        <w:rPr>
          <w:rFonts w:ascii="Cambria" w:eastAsia="Cambria" w:hAnsi="Cambria" w:cs="Cambria"/>
          <w:sz w:val="16"/>
          <w:szCs w:val="16"/>
          <w:vertAlign w:val="superscript"/>
        </w:rPr>
        <w:t>[1]</w:t>
      </w:r>
      <w:r>
        <w:rPr>
          <w:rFonts w:ascii="Cambria" w:eastAsia="Cambria" w:hAnsi="Cambria" w:cs="Cambria"/>
        </w:rPr>
        <w:t xml:space="preserve"> Four characteristics explain why that succeeded. Protection was fitted rather than allocated, so a unit did not wait on a request. It required no operator, because maintainers configured it and the soldiers switched it on. The specialist role moved to the rear of the loop, where electronic warfare staff owned the threat libraries and loadsets. And capability grew through industry and software updates rather than a training pipeline. Commanders understood the result as force protection, sitting alongside ar</w:t>
      </w:r>
      <w:r>
        <w:rPr>
          <w:rFonts w:ascii="Cambria" w:eastAsia="Cambria" w:hAnsi="Cambria" w:cs="Cambria"/>
        </w:rPr>
        <w:t>mour and route clearance rather than in a specialist highly classified annex.</w:t>
      </w:r>
    </w:p>
    <w:p w14:paraId="451E5386" w14:textId="0CBDACA4" w:rsidR="00CB336C" w:rsidRDefault="00507BDB">
      <w:pPr>
        <w:spacing w:after="100" w:line="246" w:lineRule="auto"/>
      </w:pPr>
      <w:r>
        <w:rPr>
          <w:rFonts w:ascii="Cambria" w:eastAsia="Cambria" w:hAnsi="Cambria" w:cs="Cambria"/>
        </w:rPr>
        <w:t>The campaign also produced lessons that any successor must carry forward. Active jammers interfered with the force's own communications, including GPS and Blue Force Tracking, until interoperability was engineered into them.</w:t>
      </w:r>
      <w:r>
        <w:rPr>
          <w:rFonts w:ascii="Cambria" w:eastAsia="Cambria" w:hAnsi="Cambria" w:cs="Cambria"/>
          <w:sz w:val="16"/>
          <w:szCs w:val="16"/>
          <w:vertAlign w:val="superscript"/>
        </w:rPr>
        <w:t>[6]</w:t>
      </w:r>
      <w:r>
        <w:rPr>
          <w:rFonts w:ascii="Cambria" w:eastAsia="Cambria" w:hAnsi="Cambria" w:cs="Cambria"/>
        </w:rPr>
        <w:t xml:space="preserve"> They also radiated continuously by design, which made the platform carrying them conspicuous to anyone listening. Threat libraries fell behind the threat wherever no central authority owned their update. </w:t>
      </w:r>
      <w:r w:rsidR="00A43E19">
        <w:rPr>
          <w:rFonts w:ascii="Cambria" w:eastAsia="Cambria" w:hAnsi="Cambria" w:cs="Cambria"/>
        </w:rPr>
        <w:t>Whether the capability was actually present on the day of an incident depended on sustainment rather tha</w:t>
      </w:r>
      <w:r>
        <w:rPr>
          <w:rFonts w:ascii="Cambria" w:eastAsia="Cambria" w:hAnsi="Cambria" w:cs="Cambria"/>
        </w:rPr>
        <w:t>n procurement.</w:t>
      </w:r>
    </w:p>
    <w:p w14:paraId="451E5387" w14:textId="77777777" w:rsidR="00CB336C" w:rsidRDefault="00507BDB">
      <w:pPr>
        <w:spacing w:after="100" w:line="246" w:lineRule="auto"/>
      </w:pPr>
      <w:r>
        <w:rPr>
          <w:rFonts w:ascii="Cambria" w:eastAsia="Cambria" w:hAnsi="Cambria" w:cs="Cambria"/>
        </w:rPr>
        <w:lastRenderedPageBreak/>
        <w:t>One further condition of that campaign deserves attention, because it no longer holds.</w:t>
      </w:r>
    </w:p>
    <w:p w14:paraId="451E5388" w14:textId="77777777" w:rsidR="00CB336C" w:rsidRDefault="00507BDB">
      <w:pPr>
        <w:spacing w:after="100" w:line="246" w:lineRule="auto"/>
      </w:pPr>
      <w:r>
        <w:rPr>
          <w:rFonts w:ascii="Cambria" w:eastAsia="Cambria" w:hAnsi="Cambria" w:cs="Cambria"/>
        </w:rPr>
        <w:t>CREW was fielded into a spectrum the coalition effectively owned. No Western force can assume that environment again. The change alters what a successor capability must survive. It does not alter the delivery model that made CREW work.</w:t>
      </w:r>
    </w:p>
    <w:p w14:paraId="451E5389" w14:textId="2466F5A5" w:rsidR="00CB336C" w:rsidRDefault="00507BDB">
      <w:pPr>
        <w:pBdr>
          <w:top w:val="single" w:sz="4" w:space="10" w:color="1A1A1A"/>
        </w:pBdr>
        <w:spacing w:before="150" w:after="20" w:line="265" w:lineRule="auto"/>
        <w:ind w:left="480" w:right="480"/>
      </w:pPr>
      <w:r>
        <w:rPr>
          <w:rFonts w:ascii="Cambria" w:eastAsia="Cambria" w:hAnsi="Cambria" w:cs="Cambria"/>
          <w:i/>
          <w:iCs/>
          <w:color w:val="1A1A1A"/>
          <w:sz w:val="21"/>
          <w:szCs w:val="21"/>
        </w:rPr>
        <w:t>"As we fought in coalition warfare in Iraq and Afghanistan</w:t>
      </w:r>
      <w:r w:rsidR="009F1698">
        <w:rPr>
          <w:rFonts w:ascii="Cambria" w:eastAsia="Cambria" w:hAnsi="Cambria" w:cs="Cambria"/>
          <w:i/>
          <w:iCs/>
          <w:color w:val="1A1A1A"/>
          <w:sz w:val="21"/>
          <w:szCs w:val="21"/>
        </w:rPr>
        <w:t>…</w:t>
      </w:r>
      <w:r>
        <w:rPr>
          <w:rFonts w:ascii="Cambria" w:eastAsia="Cambria" w:hAnsi="Cambria" w:cs="Cambria"/>
          <w:i/>
          <w:iCs/>
          <w:color w:val="1A1A1A"/>
          <w:sz w:val="21"/>
          <w:szCs w:val="21"/>
        </w:rPr>
        <w:t xml:space="preserve"> we were really uncontested in the electromagnetic spectrum."</w:t>
      </w:r>
    </w:p>
    <w:p w14:paraId="451E538A" w14:textId="77777777" w:rsidR="00CB336C" w:rsidRDefault="00507BDB">
      <w:pPr>
        <w:pBdr>
          <w:bottom w:val="single" w:sz="4" w:space="10" w:color="1A1A1A"/>
        </w:pBdr>
        <w:spacing w:after="220"/>
        <w:ind w:left="480" w:right="480"/>
        <w:jc w:val="right"/>
      </w:pPr>
      <w:r>
        <w:rPr>
          <w:rFonts w:ascii="Cambria" w:eastAsia="Cambria" w:hAnsi="Cambria" w:cs="Cambria"/>
          <w:color w:val="555555"/>
          <w:sz w:val="17"/>
          <w:szCs w:val="17"/>
        </w:rPr>
        <w:t>Lieutenant General Lance Landrum</w:t>
      </w:r>
      <w:r>
        <w:rPr>
          <w:rFonts w:ascii="Cambria" w:eastAsia="Cambria" w:hAnsi="Cambria" w:cs="Cambria"/>
          <w:color w:val="555555"/>
          <w:sz w:val="13"/>
          <w:szCs w:val="13"/>
          <w:vertAlign w:val="superscript"/>
        </w:rPr>
        <w:t>[2]</w:t>
      </w:r>
    </w:p>
    <w:p w14:paraId="451E538B" w14:textId="77777777" w:rsidR="00CB336C" w:rsidRDefault="00507BDB">
      <w:pPr>
        <w:pStyle w:val="Heading1"/>
        <w:keepNext/>
        <w:spacing w:before="195" w:after="88"/>
      </w:pPr>
      <w:r>
        <w:rPr>
          <w:rFonts w:ascii="Cambria" w:eastAsia="Cambria" w:hAnsi="Cambria" w:cs="Cambria"/>
          <w:b/>
          <w:bCs/>
          <w:color w:val="1A1A1A"/>
          <w:sz w:val="23"/>
          <w:szCs w:val="23"/>
        </w:rPr>
        <w:t>2. The problem has changed</w:t>
      </w:r>
    </w:p>
    <w:p w14:paraId="451E538C" w14:textId="5BFCEB88" w:rsidR="00CB336C" w:rsidRDefault="00507BDB">
      <w:pPr>
        <w:spacing w:after="100" w:line="246" w:lineRule="auto"/>
      </w:pPr>
      <w:r>
        <w:rPr>
          <w:rFonts w:ascii="Cambria" w:eastAsia="Cambria" w:hAnsi="Cambria" w:cs="Cambria"/>
        </w:rPr>
        <w:t>The radio-controlled IED has been joined by a family of threats sharing its essential character</w:t>
      </w:r>
      <w:r w:rsidR="00E273CC">
        <w:rPr>
          <w:rFonts w:ascii="Cambria" w:eastAsia="Cambria" w:hAnsi="Cambria" w:cs="Cambria"/>
        </w:rPr>
        <w:t>,</w:t>
      </w:r>
      <w:r>
        <w:rPr>
          <w:rFonts w:ascii="Cambria" w:eastAsia="Cambria" w:hAnsi="Cambria" w:cs="Cambria"/>
        </w:rPr>
        <w:t xml:space="preserve"> including our own signals. They are often low</w:t>
      </w:r>
      <w:r w:rsidR="00E273CC">
        <w:rPr>
          <w:rFonts w:ascii="Cambria" w:eastAsia="Cambria" w:hAnsi="Cambria" w:cs="Cambria"/>
        </w:rPr>
        <w:t>-</w:t>
      </w:r>
      <w:r>
        <w:rPr>
          <w:rFonts w:ascii="Cambria" w:eastAsia="Cambria" w:hAnsi="Cambria" w:cs="Cambria"/>
        </w:rPr>
        <w:t>cost, commercially available, and they operate at the lowest tactical level. Every element of a modern force radiates, and a position seen in the spectrum can be found and struck within minutes. A unit under jamming frequently cannot distinguish the attack from a fault.</w:t>
      </w:r>
    </w:p>
    <w:p w14:paraId="451E538D" w14:textId="77777777" w:rsidR="00CB336C" w:rsidRDefault="00507BDB">
      <w:pPr>
        <w:spacing w:after="100" w:line="246" w:lineRule="auto"/>
      </w:pPr>
      <w:r>
        <w:rPr>
          <w:rFonts w:ascii="Cambria" w:eastAsia="Cambria" w:hAnsi="Cambria" w:cs="Cambria"/>
        </w:rPr>
        <w:t>Small uncrewed aircraft illustrate the pattern. An aircraft launched from a public road several kilometres away can loiter over a dispersed base while its operator stands in a paddock holding a controller. The control uplink, the video downlink, the telemetry beacon and often the operator's personal radio are all often transmitting throughout. Both sides in Ukraine already exploit this. They trace control signals back to their source and direct fire onto the operator, who is easier to find than the aircraft</w:t>
      </w:r>
      <w:r>
        <w:rPr>
          <w:rFonts w:ascii="Cambria" w:eastAsia="Cambria" w:hAnsi="Cambria" w:cs="Cambria"/>
        </w:rPr>
        <w:t>.</w:t>
      </w:r>
      <w:r>
        <w:rPr>
          <w:rFonts w:ascii="Cambria" w:eastAsia="Cambria" w:hAnsi="Cambria" w:cs="Cambria"/>
          <w:sz w:val="16"/>
          <w:szCs w:val="16"/>
          <w:vertAlign w:val="superscript"/>
        </w:rPr>
        <w:t>[2]</w:t>
      </w:r>
      <w:r>
        <w:rPr>
          <w:rFonts w:ascii="Cambria" w:eastAsia="Cambria" w:hAnsi="Cambria" w:cs="Cambria"/>
        </w:rPr>
        <w:t xml:space="preserve"> Distributed electromagnetic sensing is not a proposal awaiting adoption. It is already a method of targeting, used against Western forces as readily as by them; it just occurs at a very high price point.</w:t>
      </w:r>
    </w:p>
    <w:p w14:paraId="451E538E" w14:textId="77777777" w:rsidR="00CB336C" w:rsidRDefault="00507BDB">
      <w:pPr>
        <w:spacing w:after="100" w:line="246" w:lineRule="auto"/>
      </w:pPr>
      <w:r>
        <w:rPr>
          <w:rFonts w:ascii="Cambria" w:eastAsia="Cambria" w:hAnsi="Cambria" w:cs="Cambria"/>
        </w:rPr>
        <w:t>Defence's answer to physical exposure is layered protection at every echelon. Defence in depth. Its answer to electromagnetic exposure remains centralised. Electronic support is a low-density, high-demand asset, held at formation level and protected because it is too valuable to risk. That leaves the combat team with nothing organic, at the point where the spectrum has become a condition of operating rather than a specialist concern. Contemporary analysis treats electronic warfare as an all-arms responsibil</w:t>
      </w:r>
      <w:r>
        <w:rPr>
          <w:rFonts w:ascii="Cambria" w:eastAsia="Cambria" w:hAnsi="Cambria" w:cs="Cambria"/>
        </w:rPr>
        <w:t>ity across echelons.</w:t>
      </w:r>
      <w:r>
        <w:rPr>
          <w:rFonts w:ascii="Cambria" w:eastAsia="Cambria" w:hAnsi="Cambria" w:cs="Cambria"/>
          <w:sz w:val="16"/>
          <w:szCs w:val="16"/>
          <w:vertAlign w:val="superscript"/>
        </w:rPr>
        <w:t>[7]</w:t>
      </w:r>
      <w:r>
        <w:rPr>
          <w:rFonts w:ascii="Cambria" w:eastAsia="Cambria" w:hAnsi="Cambria" w:cs="Cambria"/>
        </w:rPr>
        <w:t xml:space="preserve"> Russian forces were assessed in 2023 to be fielding at least one major system for roughly every ten kilometres of front.</w:t>
      </w:r>
      <w:r>
        <w:rPr>
          <w:rFonts w:ascii="Cambria" w:eastAsia="Cambria" w:hAnsi="Cambria" w:cs="Cambria"/>
          <w:sz w:val="16"/>
          <w:szCs w:val="16"/>
          <w:vertAlign w:val="superscript"/>
        </w:rPr>
        <w:t>[8]</w:t>
      </w:r>
    </w:p>
    <w:p w14:paraId="451E538F" w14:textId="77777777" w:rsidR="00CB336C" w:rsidRDefault="00507BDB">
      <w:pPr>
        <w:spacing w:after="100" w:line="246" w:lineRule="auto"/>
      </w:pPr>
      <w:r>
        <w:rPr>
          <w:rFonts w:ascii="Cambria" w:eastAsia="Cambria" w:hAnsi="Cambria" w:cs="Cambria"/>
        </w:rPr>
        <w:t>The obvious response is a cheaper version of the exquisite sensor, and it misreads the constraint. What limits the density of electronic support is not just cost but complexity. A sensor costing a tenth as much, but still needing a qualified operator and a calibration routine, remains a low-density asset.</w:t>
      </w:r>
    </w:p>
    <w:p w14:paraId="451E5390" w14:textId="77777777" w:rsidR="00CB336C" w:rsidRDefault="00507BDB">
      <w:pPr>
        <w:pStyle w:val="Heading1"/>
        <w:keepNext/>
        <w:spacing w:before="195" w:after="88"/>
      </w:pPr>
      <w:r>
        <w:rPr>
          <w:rFonts w:ascii="Cambria" w:eastAsia="Cambria" w:hAnsi="Cambria" w:cs="Cambria"/>
          <w:b/>
          <w:bCs/>
          <w:color w:val="1A1A1A"/>
          <w:sz w:val="23"/>
          <w:szCs w:val="23"/>
        </w:rPr>
        <w:t>3. Defining electromagnetic force protection</w:t>
      </w:r>
    </w:p>
    <w:p w14:paraId="451E5391" w14:textId="77777777" w:rsidR="00CB336C" w:rsidRDefault="00507BDB">
      <w:pPr>
        <w:spacing w:after="100" w:line="246" w:lineRule="auto"/>
      </w:pPr>
      <w:r>
        <w:rPr>
          <w:rFonts w:ascii="Cambria" w:eastAsia="Cambria" w:hAnsi="Cambria" w:cs="Cambria"/>
        </w:rPr>
        <w:t>EMFP is the routine ability of a unit to sense its own electromagnetic environment for protective purposes. It is not electronic warfare in the specialist sense, and it is not signals intelligence. The closest analogy is a sentry: permanently alert, operated by nobody in particular, and reporting into the picture the commander already watches. Because it stays separate from any effector, it can be fielded widely without the authorities that effects require.</w:t>
      </w:r>
    </w:p>
    <w:p w14:paraId="451E5392" w14:textId="0C1B6237" w:rsidR="00CB336C" w:rsidRDefault="00507BDB">
      <w:pPr>
        <w:spacing w:after="100" w:line="246" w:lineRule="auto"/>
      </w:pPr>
      <w:r>
        <w:rPr>
          <w:rFonts w:ascii="Cambria" w:eastAsia="Cambria" w:hAnsi="Cambria" w:cs="Cambria"/>
        </w:rPr>
        <w:t>The scope is wider than counter-drone work. A unit needs to know about jammers, adversary datalinks, handheld radios, unexpected activity in protected bands and its own emissions, as well as about uncrewed aircraft. That breadth is what makes a software-defined receiver the right basis for the capability. Such a receiver can be retuned across the bands of interest, detect what it was not told to expect, and classify what it finds. That covers a threat set no fixed-channel detector reaches. It moves beyond s</w:t>
      </w:r>
      <w:r>
        <w:rPr>
          <w:rFonts w:ascii="Cambria" w:eastAsia="Cambria" w:hAnsi="Cambria" w:cs="Cambria"/>
        </w:rPr>
        <w:t>pecialist counter-drone jammers and into a wide</w:t>
      </w:r>
      <w:r w:rsidR="00E273CC">
        <w:rPr>
          <w:rFonts w:ascii="Cambria" w:eastAsia="Cambria" w:hAnsi="Cambria" w:cs="Cambria"/>
        </w:rPr>
        <w:t>-</w:t>
      </w:r>
      <w:r>
        <w:rPr>
          <w:rFonts w:ascii="Cambria" w:eastAsia="Cambria" w:hAnsi="Cambria" w:cs="Cambria"/>
        </w:rPr>
        <w:t>band, wide</w:t>
      </w:r>
      <w:r w:rsidR="00E273CC">
        <w:rPr>
          <w:rFonts w:ascii="Cambria" w:eastAsia="Cambria" w:hAnsi="Cambria" w:cs="Cambria"/>
        </w:rPr>
        <w:t>-</w:t>
      </w:r>
      <w:r>
        <w:rPr>
          <w:rFonts w:ascii="Cambria" w:eastAsia="Cambria" w:hAnsi="Cambria" w:cs="Cambria"/>
        </w:rPr>
        <w:t>spectrum distributed sensor approach. It also lets the capability follow the threat by software update, which is how CREW kept pace once its loadsets were centrally owned.</w:t>
      </w:r>
    </w:p>
    <w:p w14:paraId="451E5393" w14:textId="0F28D29C" w:rsidR="00CB336C" w:rsidRDefault="00507BDB">
      <w:pPr>
        <w:spacing w:after="100" w:line="246" w:lineRule="auto"/>
      </w:pPr>
      <w:r>
        <w:rPr>
          <w:rFonts w:ascii="Cambria" w:eastAsia="Cambria" w:hAnsi="Cambria" w:cs="Cambria"/>
        </w:rPr>
        <w:t xml:space="preserve">Force protection in the spectrum has an active half and a passive half. The active half is jamming, deception and other measures that deny an adversary the spectrum. It remains a specialist matter governed by authorities. The passive half is sensing, and it </w:t>
      </w:r>
      <w:r w:rsidR="00A43E19">
        <w:rPr>
          <w:rFonts w:ascii="Cambria" w:eastAsia="Cambria" w:hAnsi="Cambria" w:cs="Cambria"/>
        </w:rPr>
        <w:t>can be issued across a force</w:t>
      </w:r>
      <w:r>
        <w:rPr>
          <w:rFonts w:ascii="Cambria" w:eastAsia="Cambria" w:hAnsi="Cambria" w:cs="Cambria"/>
        </w:rPr>
        <w:t xml:space="preserve"> because a receiver transmits nothing. It cannot interfere with friendly communications. It needs no spectrum authority. It offers an adversary nothing to detect. An active measure does the opposite. It radiates by design, and in a contested spectrum that makes the platform carrying it a large and obvious electromagnetic image. Only the coordination bearer of a sensing mesh emits, and the commander can reduce or silence it.</w:t>
      </w:r>
    </w:p>
    <w:p w14:paraId="451E5394" w14:textId="77777777" w:rsidR="00CB336C" w:rsidRDefault="00507BDB">
      <w:pPr>
        <w:spacing w:after="100" w:line="246" w:lineRule="auto"/>
      </w:pPr>
      <w:r>
        <w:rPr>
          <w:rFonts w:ascii="Cambria" w:eastAsia="Cambria" w:hAnsi="Cambria" w:cs="Cambria"/>
        </w:rPr>
        <w:t>There is also an argument from effect. Mesh networking, alternate paths and local autonomy have blunted jamming. CSIS judges that electronic warfare "may not be as decisive as some analysts had predicted".</w:t>
      </w:r>
      <w:r>
        <w:rPr>
          <w:rFonts w:ascii="Cambria" w:eastAsia="Cambria" w:hAnsi="Cambria" w:cs="Cambria"/>
          <w:sz w:val="16"/>
          <w:szCs w:val="16"/>
          <w:vertAlign w:val="superscript"/>
        </w:rPr>
        <w:t>[2]</w:t>
      </w:r>
      <w:r>
        <w:rPr>
          <w:rFonts w:ascii="Cambria" w:eastAsia="Cambria" w:hAnsi="Cambria" w:cs="Cambria"/>
        </w:rPr>
        <w:t xml:space="preserve"> If denying the spectrum yields less than it once did, seeing it is worth more.</w:t>
      </w:r>
    </w:p>
    <w:p w14:paraId="451E5395" w14:textId="77777777" w:rsidR="00CB336C" w:rsidRDefault="00507BDB">
      <w:pPr>
        <w:spacing w:after="100" w:line="246" w:lineRule="auto"/>
      </w:pPr>
      <w:r>
        <w:rPr>
          <w:rFonts w:ascii="Cambria" w:eastAsia="Cambria" w:hAnsi="Cambria" w:cs="Cambria"/>
        </w:rPr>
        <w:t>The design principles follow from the CREW precedent rather than from any particular technology.</w:t>
      </w:r>
    </w:p>
    <w:p w14:paraId="451E5396" w14:textId="77777777" w:rsidR="00CB336C" w:rsidRDefault="00507BDB" w:rsidP="00A43E19">
      <w:pPr>
        <w:keepNext/>
        <w:spacing w:before="120" w:after="70"/>
        <w:jc w:val="center"/>
      </w:pPr>
      <w:r>
        <w:rPr>
          <w:rFonts w:ascii="Cambria" w:eastAsia="Cambria" w:hAnsi="Cambria" w:cs="Cambria"/>
          <w:color w:val="555555"/>
          <w:sz w:val="17"/>
          <w:szCs w:val="17"/>
        </w:rPr>
        <w:lastRenderedPageBreak/>
        <w:t>Table 1  Design principles for a distributed sensing layer</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81"/>
        <w:gridCol w:w="7256"/>
      </w:tblGrid>
      <w:tr w:rsidR="00CB336C" w14:paraId="451E5399" w14:textId="77777777">
        <w:trPr>
          <w:tblHeader/>
        </w:trPr>
        <w:tc>
          <w:tcPr>
            <w:tcW w:w="2381" w:type="dxa"/>
            <w:tcBorders>
              <w:top w:val="single" w:sz="2" w:space="0" w:color="1A1A1A"/>
              <w:left w:val="none" w:sz="0" w:space="0" w:color="FFFFFF"/>
              <w:bottom w:val="single" w:sz="2" w:space="0" w:color="1A1A1A"/>
              <w:right w:val="none" w:sz="0" w:space="0" w:color="FFFFFF"/>
            </w:tcBorders>
            <w:shd w:val="clear" w:color="auto" w:fill="FFFFFF"/>
            <w:tcMar>
              <w:top w:w="44" w:type="dxa"/>
              <w:left w:w="0" w:type="dxa"/>
              <w:bottom w:w="44" w:type="dxa"/>
              <w:right w:w="140" w:type="dxa"/>
            </w:tcMar>
          </w:tcPr>
          <w:p w14:paraId="451E5397" w14:textId="77777777" w:rsidR="00CB336C" w:rsidRDefault="00507BDB">
            <w:pPr>
              <w:spacing w:line="230" w:lineRule="auto"/>
            </w:pPr>
            <w:r>
              <w:rPr>
                <w:rFonts w:ascii="Cambria" w:eastAsia="Cambria" w:hAnsi="Cambria" w:cs="Cambria"/>
                <w:b/>
                <w:bCs/>
                <w:color w:val="1A1A1A"/>
                <w:sz w:val="18"/>
                <w:szCs w:val="18"/>
              </w:rPr>
              <w:t>Principle</w:t>
            </w:r>
          </w:p>
        </w:tc>
        <w:tc>
          <w:tcPr>
            <w:tcW w:w="7256" w:type="dxa"/>
            <w:tcBorders>
              <w:top w:val="single" w:sz="2" w:space="0" w:color="1A1A1A"/>
              <w:left w:val="none" w:sz="0" w:space="0" w:color="FFFFFF"/>
              <w:bottom w:val="single" w:sz="2" w:space="0" w:color="1A1A1A"/>
              <w:right w:val="none" w:sz="0" w:space="0" w:color="FFFFFF"/>
            </w:tcBorders>
            <w:shd w:val="clear" w:color="auto" w:fill="FFFFFF"/>
            <w:tcMar>
              <w:top w:w="44" w:type="dxa"/>
              <w:left w:w="0" w:type="dxa"/>
              <w:bottom w:w="44" w:type="dxa"/>
              <w:right w:w="140" w:type="dxa"/>
            </w:tcMar>
          </w:tcPr>
          <w:p w14:paraId="451E5398" w14:textId="77777777" w:rsidR="00CB336C" w:rsidRDefault="00507BDB">
            <w:pPr>
              <w:spacing w:line="230" w:lineRule="auto"/>
            </w:pPr>
            <w:r>
              <w:rPr>
                <w:rFonts w:ascii="Cambria" w:eastAsia="Cambria" w:hAnsi="Cambria" w:cs="Cambria"/>
                <w:b/>
                <w:bCs/>
                <w:color w:val="1A1A1A"/>
                <w:sz w:val="18"/>
                <w:szCs w:val="18"/>
              </w:rPr>
              <w:t>What it requires</w:t>
            </w:r>
          </w:p>
        </w:tc>
      </w:tr>
      <w:tr w:rsidR="00CB336C" w14:paraId="451E539C" w14:textId="77777777">
        <w:tc>
          <w:tcPr>
            <w:tcW w:w="2381" w:type="dxa"/>
            <w:tcBorders>
              <w:top w:val="single" w:sz="2" w:space="0" w:color="CCCCCC"/>
              <w:left w:val="none" w:sz="0" w:space="0" w:color="FFFFFF"/>
              <w:bottom w:val="none" w:sz="0" w:space="0" w:color="FFFFFF"/>
              <w:right w:val="none" w:sz="0" w:space="0" w:color="FFFFFF"/>
            </w:tcBorders>
            <w:shd w:val="clear" w:color="auto" w:fill="FFFFFF"/>
            <w:tcMar>
              <w:top w:w="44" w:type="dxa"/>
              <w:left w:w="0" w:type="dxa"/>
              <w:bottom w:w="44" w:type="dxa"/>
              <w:right w:w="140" w:type="dxa"/>
            </w:tcMar>
          </w:tcPr>
          <w:p w14:paraId="451E539A" w14:textId="77777777" w:rsidR="00CB336C" w:rsidRDefault="00507BDB">
            <w:pPr>
              <w:spacing w:line="230" w:lineRule="auto"/>
            </w:pPr>
            <w:r>
              <w:rPr>
                <w:rFonts w:ascii="Cambria" w:eastAsia="Cambria" w:hAnsi="Cambria" w:cs="Cambria"/>
                <w:color w:val="1A1A1A"/>
                <w:sz w:val="18"/>
                <w:szCs w:val="18"/>
              </w:rPr>
              <w:t>Passive</w:t>
            </w:r>
          </w:p>
        </w:tc>
        <w:tc>
          <w:tcPr>
            <w:tcW w:w="7256" w:type="dxa"/>
            <w:tcBorders>
              <w:top w:val="single" w:sz="2" w:space="0" w:color="CCCCCC"/>
              <w:left w:val="none" w:sz="0" w:space="0" w:color="FFFFFF"/>
              <w:bottom w:val="none" w:sz="0" w:space="0" w:color="FFFFFF"/>
              <w:right w:val="none" w:sz="0" w:space="0" w:color="FFFFFF"/>
            </w:tcBorders>
            <w:shd w:val="clear" w:color="auto" w:fill="FFFFFF"/>
            <w:tcMar>
              <w:top w:w="44" w:type="dxa"/>
              <w:left w:w="0" w:type="dxa"/>
              <w:bottom w:w="44" w:type="dxa"/>
              <w:right w:w="140" w:type="dxa"/>
            </w:tcMar>
          </w:tcPr>
          <w:p w14:paraId="451E539B" w14:textId="77777777" w:rsidR="00CB336C" w:rsidRDefault="00507BDB">
            <w:pPr>
              <w:spacing w:line="230" w:lineRule="auto"/>
            </w:pPr>
            <w:r>
              <w:rPr>
                <w:rFonts w:ascii="Cambria" w:eastAsia="Cambria" w:hAnsi="Cambria" w:cs="Cambria"/>
                <w:color w:val="1A1A1A"/>
                <w:sz w:val="18"/>
                <w:szCs w:val="18"/>
              </w:rPr>
              <w:t>Effect achieved by receiving. Coordination traffic minimal, encrypted, and able to be shut down.</w:t>
            </w:r>
          </w:p>
        </w:tc>
      </w:tr>
      <w:tr w:rsidR="00CB336C" w14:paraId="451E539F" w14:textId="77777777">
        <w:tc>
          <w:tcPr>
            <w:tcW w:w="2381" w:type="dxa"/>
            <w:tcBorders>
              <w:top w:val="single" w:sz="2" w:space="0" w:color="CCCCCC"/>
              <w:left w:val="none" w:sz="0" w:space="0" w:color="FFFFFF"/>
              <w:bottom w:val="none" w:sz="0" w:space="0" w:color="FFFFFF"/>
              <w:right w:val="none" w:sz="0" w:space="0" w:color="FFFFFF"/>
            </w:tcBorders>
            <w:shd w:val="clear" w:color="auto" w:fill="FFFFFF"/>
            <w:tcMar>
              <w:top w:w="44" w:type="dxa"/>
              <w:left w:w="0" w:type="dxa"/>
              <w:bottom w:w="44" w:type="dxa"/>
              <w:right w:w="140" w:type="dxa"/>
            </w:tcMar>
          </w:tcPr>
          <w:p w14:paraId="451E539D" w14:textId="77777777" w:rsidR="00CB336C" w:rsidRDefault="00507BDB">
            <w:pPr>
              <w:spacing w:line="230" w:lineRule="auto"/>
            </w:pPr>
            <w:r>
              <w:rPr>
                <w:rFonts w:ascii="Cambria" w:eastAsia="Cambria" w:hAnsi="Cambria" w:cs="Cambria"/>
                <w:color w:val="1A1A1A"/>
                <w:sz w:val="18"/>
                <w:szCs w:val="18"/>
              </w:rPr>
              <w:t>Mass before quality</w:t>
            </w:r>
          </w:p>
        </w:tc>
        <w:tc>
          <w:tcPr>
            <w:tcW w:w="7256" w:type="dxa"/>
            <w:tcBorders>
              <w:top w:val="single" w:sz="2" w:space="0" w:color="CCCCCC"/>
              <w:left w:val="none" w:sz="0" w:space="0" w:color="FFFFFF"/>
              <w:bottom w:val="none" w:sz="0" w:space="0" w:color="FFFFFF"/>
              <w:right w:val="none" w:sz="0" w:space="0" w:color="FFFFFF"/>
            </w:tcBorders>
            <w:shd w:val="clear" w:color="auto" w:fill="FFFFFF"/>
            <w:tcMar>
              <w:top w:w="44" w:type="dxa"/>
              <w:left w:w="0" w:type="dxa"/>
              <w:bottom w:w="44" w:type="dxa"/>
              <w:right w:w="140" w:type="dxa"/>
            </w:tcMar>
          </w:tcPr>
          <w:p w14:paraId="451E539E" w14:textId="77777777" w:rsidR="00CB336C" w:rsidRDefault="00507BDB">
            <w:pPr>
              <w:spacing w:line="230" w:lineRule="auto"/>
            </w:pPr>
            <w:r>
              <w:rPr>
                <w:rFonts w:ascii="Cambria" w:eastAsia="Cambria" w:hAnsi="Cambria" w:cs="Cambria"/>
                <w:color w:val="1A1A1A"/>
                <w:sz w:val="18"/>
                <w:szCs w:val="18"/>
              </w:rPr>
              <w:t>Coverage is the limiting factor, and accuracy is set by sensor geometry. More sensors spread wider, rather than a better receiver.</w:t>
            </w:r>
          </w:p>
        </w:tc>
      </w:tr>
      <w:tr w:rsidR="00CB336C" w14:paraId="451E53A2" w14:textId="77777777">
        <w:tc>
          <w:tcPr>
            <w:tcW w:w="2381" w:type="dxa"/>
            <w:tcBorders>
              <w:top w:val="single" w:sz="2" w:space="0" w:color="CCCCCC"/>
              <w:left w:val="none" w:sz="0" w:space="0" w:color="FFFFFF"/>
              <w:bottom w:val="none" w:sz="0" w:space="0" w:color="FFFFFF"/>
              <w:right w:val="none" w:sz="0" w:space="0" w:color="FFFFFF"/>
            </w:tcBorders>
            <w:shd w:val="clear" w:color="auto" w:fill="FFFFFF"/>
            <w:tcMar>
              <w:top w:w="44" w:type="dxa"/>
              <w:left w:w="0" w:type="dxa"/>
              <w:bottom w:w="44" w:type="dxa"/>
              <w:right w:w="140" w:type="dxa"/>
            </w:tcMar>
          </w:tcPr>
          <w:p w14:paraId="451E53A0" w14:textId="77777777" w:rsidR="00CB336C" w:rsidRDefault="00507BDB">
            <w:pPr>
              <w:spacing w:line="230" w:lineRule="auto"/>
            </w:pPr>
            <w:r>
              <w:rPr>
                <w:rFonts w:ascii="Cambria" w:eastAsia="Cambria" w:hAnsi="Cambria" w:cs="Cambria"/>
                <w:color w:val="1A1A1A"/>
                <w:sz w:val="18"/>
                <w:szCs w:val="18"/>
              </w:rPr>
              <w:t>Wide and open coverage</w:t>
            </w:r>
          </w:p>
        </w:tc>
        <w:tc>
          <w:tcPr>
            <w:tcW w:w="7256" w:type="dxa"/>
            <w:tcBorders>
              <w:top w:val="single" w:sz="2" w:space="0" w:color="CCCCCC"/>
              <w:left w:val="none" w:sz="0" w:space="0" w:color="FFFFFF"/>
              <w:bottom w:val="none" w:sz="0" w:space="0" w:color="FFFFFF"/>
              <w:right w:val="none" w:sz="0" w:space="0" w:color="FFFFFF"/>
            </w:tcBorders>
            <w:shd w:val="clear" w:color="auto" w:fill="FFFFFF"/>
            <w:tcMar>
              <w:top w:w="44" w:type="dxa"/>
              <w:left w:w="0" w:type="dxa"/>
              <w:bottom w:w="44" w:type="dxa"/>
              <w:right w:w="140" w:type="dxa"/>
            </w:tcMar>
          </w:tcPr>
          <w:p w14:paraId="451E53A1" w14:textId="77777777" w:rsidR="00CB336C" w:rsidRDefault="00507BDB">
            <w:pPr>
              <w:spacing w:line="230" w:lineRule="auto"/>
            </w:pPr>
            <w:r>
              <w:rPr>
                <w:rFonts w:ascii="Cambria" w:eastAsia="Cambria" w:hAnsi="Cambria" w:cs="Cambria"/>
                <w:color w:val="1A1A1A"/>
                <w:sz w:val="18"/>
                <w:szCs w:val="18"/>
              </w:rPr>
              <w:t>Receivers able to scan the bands of interest, detect the unexpected and classify it, rather than watch a fixed channel list.</w:t>
            </w:r>
          </w:p>
        </w:tc>
      </w:tr>
      <w:tr w:rsidR="00CB336C" w14:paraId="451E53A5" w14:textId="77777777">
        <w:tc>
          <w:tcPr>
            <w:tcW w:w="2381" w:type="dxa"/>
            <w:tcBorders>
              <w:top w:val="single" w:sz="2" w:space="0" w:color="CCCCCC"/>
              <w:left w:val="none" w:sz="0" w:space="0" w:color="FFFFFF"/>
              <w:bottom w:val="none" w:sz="0" w:space="0" w:color="FFFFFF"/>
              <w:right w:val="none" w:sz="0" w:space="0" w:color="FFFFFF"/>
            </w:tcBorders>
            <w:shd w:val="clear" w:color="auto" w:fill="FFFFFF"/>
            <w:tcMar>
              <w:top w:w="44" w:type="dxa"/>
              <w:left w:w="0" w:type="dxa"/>
              <w:bottom w:w="44" w:type="dxa"/>
              <w:right w:w="140" w:type="dxa"/>
            </w:tcMar>
          </w:tcPr>
          <w:p w14:paraId="451E53A3" w14:textId="77777777" w:rsidR="00CB336C" w:rsidRDefault="00507BDB">
            <w:pPr>
              <w:spacing w:line="230" w:lineRule="auto"/>
            </w:pPr>
            <w:r>
              <w:rPr>
                <w:rFonts w:ascii="Cambria" w:eastAsia="Cambria" w:hAnsi="Cambria" w:cs="Cambria"/>
                <w:color w:val="1A1A1A"/>
                <w:sz w:val="18"/>
                <w:szCs w:val="18"/>
              </w:rPr>
              <w:t>Little or no operator</w:t>
            </w:r>
          </w:p>
        </w:tc>
        <w:tc>
          <w:tcPr>
            <w:tcW w:w="7256" w:type="dxa"/>
            <w:tcBorders>
              <w:top w:val="single" w:sz="2" w:space="0" w:color="CCCCCC"/>
              <w:left w:val="none" w:sz="0" w:space="0" w:color="FFFFFF"/>
              <w:bottom w:val="none" w:sz="0" w:space="0" w:color="FFFFFF"/>
              <w:right w:val="none" w:sz="0" w:space="0" w:color="FFFFFF"/>
            </w:tcBorders>
            <w:shd w:val="clear" w:color="auto" w:fill="FFFFFF"/>
            <w:tcMar>
              <w:top w:w="44" w:type="dxa"/>
              <w:left w:w="0" w:type="dxa"/>
              <w:bottom w:w="44" w:type="dxa"/>
              <w:right w:w="140" w:type="dxa"/>
            </w:tcMar>
          </w:tcPr>
          <w:p w14:paraId="451E53A4" w14:textId="77777777" w:rsidR="00CB336C" w:rsidRDefault="00507BDB">
            <w:pPr>
              <w:spacing w:line="230" w:lineRule="auto"/>
            </w:pPr>
            <w:r>
              <w:rPr>
                <w:rFonts w:ascii="Cambria" w:eastAsia="Cambria" w:hAnsi="Cambria" w:cs="Cambria"/>
                <w:color w:val="1A1A1A"/>
                <w:sz w:val="18"/>
                <w:szCs w:val="18"/>
              </w:rPr>
              <w:t>Emplacement in minutes, without radio training. The user sees a threat marker rather than a spectrum display.</w:t>
            </w:r>
          </w:p>
        </w:tc>
      </w:tr>
      <w:tr w:rsidR="00CB336C" w14:paraId="451E53A8" w14:textId="77777777">
        <w:tc>
          <w:tcPr>
            <w:tcW w:w="2381" w:type="dxa"/>
            <w:tcBorders>
              <w:top w:val="single" w:sz="2" w:space="0" w:color="CCCCCC"/>
              <w:left w:val="none" w:sz="0" w:space="0" w:color="FFFFFF"/>
              <w:bottom w:val="none" w:sz="0" w:space="0" w:color="FFFFFF"/>
              <w:right w:val="none" w:sz="0" w:space="0" w:color="FFFFFF"/>
            </w:tcBorders>
            <w:shd w:val="clear" w:color="auto" w:fill="FFFFFF"/>
            <w:tcMar>
              <w:top w:w="44" w:type="dxa"/>
              <w:left w:w="0" w:type="dxa"/>
              <w:bottom w:w="44" w:type="dxa"/>
              <w:right w:w="140" w:type="dxa"/>
            </w:tcMar>
          </w:tcPr>
          <w:p w14:paraId="451E53A6" w14:textId="77777777" w:rsidR="00CB336C" w:rsidRDefault="00507BDB">
            <w:pPr>
              <w:spacing w:line="230" w:lineRule="auto"/>
            </w:pPr>
            <w:r>
              <w:rPr>
                <w:rFonts w:ascii="Cambria" w:eastAsia="Cambria" w:hAnsi="Cambria" w:cs="Cambria"/>
                <w:color w:val="1A1A1A"/>
                <w:sz w:val="18"/>
                <w:szCs w:val="18"/>
              </w:rPr>
              <w:t>Graceful degradation</w:t>
            </w:r>
          </w:p>
        </w:tc>
        <w:tc>
          <w:tcPr>
            <w:tcW w:w="7256" w:type="dxa"/>
            <w:tcBorders>
              <w:top w:val="single" w:sz="2" w:space="0" w:color="CCCCCC"/>
              <w:left w:val="none" w:sz="0" w:space="0" w:color="FFFFFF"/>
              <w:bottom w:val="none" w:sz="0" w:space="0" w:color="FFFFFF"/>
              <w:right w:val="none" w:sz="0" w:space="0" w:color="FFFFFF"/>
            </w:tcBorders>
            <w:shd w:val="clear" w:color="auto" w:fill="FFFFFF"/>
            <w:tcMar>
              <w:top w:w="44" w:type="dxa"/>
              <w:left w:w="0" w:type="dxa"/>
              <w:bottom w:w="44" w:type="dxa"/>
              <w:right w:w="140" w:type="dxa"/>
            </w:tcMar>
          </w:tcPr>
          <w:p w14:paraId="451E53A7" w14:textId="77777777" w:rsidR="00CB336C" w:rsidRDefault="00507BDB">
            <w:pPr>
              <w:spacing w:line="230" w:lineRule="auto"/>
            </w:pPr>
            <w:r>
              <w:rPr>
                <w:rFonts w:ascii="Cambria" w:eastAsia="Cambria" w:hAnsi="Cambria" w:cs="Cambria"/>
                <w:color w:val="1A1A1A"/>
                <w:sz w:val="18"/>
                <w:szCs w:val="18"/>
              </w:rPr>
              <w:t>As sensors are lost the answer falls from a geolocation to a bearing to an alert, but never to nothing.</w:t>
            </w:r>
          </w:p>
        </w:tc>
      </w:tr>
      <w:tr w:rsidR="00CB336C" w14:paraId="451E53AB" w14:textId="77777777">
        <w:tc>
          <w:tcPr>
            <w:tcW w:w="2381" w:type="dxa"/>
            <w:tcBorders>
              <w:top w:val="single" w:sz="2" w:space="0" w:color="CCCCCC"/>
              <w:left w:val="none" w:sz="0" w:space="0" w:color="FFFFFF"/>
              <w:bottom w:val="none" w:sz="0" w:space="0" w:color="FFFFFF"/>
              <w:right w:val="none" w:sz="0" w:space="0" w:color="FFFFFF"/>
            </w:tcBorders>
            <w:shd w:val="clear" w:color="auto" w:fill="FFFFFF"/>
            <w:tcMar>
              <w:top w:w="44" w:type="dxa"/>
              <w:left w:w="0" w:type="dxa"/>
              <w:bottom w:w="44" w:type="dxa"/>
              <w:right w:w="140" w:type="dxa"/>
            </w:tcMar>
          </w:tcPr>
          <w:p w14:paraId="451E53A9" w14:textId="77777777" w:rsidR="00CB336C" w:rsidRDefault="00507BDB">
            <w:pPr>
              <w:spacing w:line="230" w:lineRule="auto"/>
            </w:pPr>
            <w:r>
              <w:rPr>
                <w:rFonts w:ascii="Cambria" w:eastAsia="Cambria" w:hAnsi="Cambria" w:cs="Cambria"/>
                <w:color w:val="1A1A1A"/>
                <w:sz w:val="18"/>
                <w:szCs w:val="18"/>
              </w:rPr>
              <w:t>Identical and attritable</w:t>
            </w:r>
          </w:p>
        </w:tc>
        <w:tc>
          <w:tcPr>
            <w:tcW w:w="7256" w:type="dxa"/>
            <w:tcBorders>
              <w:top w:val="single" w:sz="2" w:space="0" w:color="CCCCCC"/>
              <w:left w:val="none" w:sz="0" w:space="0" w:color="FFFFFF"/>
              <w:bottom w:val="none" w:sz="0" w:space="0" w:color="FFFFFF"/>
              <w:right w:val="none" w:sz="0" w:space="0" w:color="FFFFFF"/>
            </w:tcBorders>
            <w:shd w:val="clear" w:color="auto" w:fill="FFFFFF"/>
            <w:tcMar>
              <w:top w:w="44" w:type="dxa"/>
              <w:left w:w="0" w:type="dxa"/>
              <w:bottom w:w="44" w:type="dxa"/>
              <w:right w:w="140" w:type="dxa"/>
            </w:tcMar>
          </w:tcPr>
          <w:p w14:paraId="451E53AA" w14:textId="77777777" w:rsidR="00CB336C" w:rsidRDefault="00507BDB">
            <w:pPr>
              <w:spacing w:line="230" w:lineRule="auto"/>
            </w:pPr>
            <w:r>
              <w:rPr>
                <w:rFonts w:ascii="Cambria" w:eastAsia="Cambria" w:hAnsi="Cambria" w:cs="Cambria"/>
                <w:color w:val="1A1A1A"/>
                <w:sz w:val="18"/>
                <w:szCs w:val="18"/>
              </w:rPr>
              <w:t>One hardware build, role assigned in software. Cheap enough that a loss carries no operational consequence.</w:t>
            </w:r>
          </w:p>
        </w:tc>
      </w:tr>
      <w:tr w:rsidR="00CB336C" w14:paraId="451E53AE" w14:textId="77777777">
        <w:tc>
          <w:tcPr>
            <w:tcW w:w="2381" w:type="dxa"/>
            <w:tcBorders>
              <w:top w:val="single" w:sz="2" w:space="0" w:color="CCCCCC"/>
              <w:left w:val="none" w:sz="0" w:space="0" w:color="FFFFFF"/>
              <w:bottom w:val="none" w:sz="0" w:space="0" w:color="FFFFFF"/>
              <w:right w:val="none" w:sz="0" w:space="0" w:color="FFFFFF"/>
            </w:tcBorders>
            <w:shd w:val="clear" w:color="auto" w:fill="FFFFFF"/>
            <w:tcMar>
              <w:top w:w="44" w:type="dxa"/>
              <w:left w:w="0" w:type="dxa"/>
              <w:bottom w:w="44" w:type="dxa"/>
              <w:right w:w="140" w:type="dxa"/>
            </w:tcMar>
          </w:tcPr>
          <w:p w14:paraId="451E53AC" w14:textId="77777777" w:rsidR="00CB336C" w:rsidRDefault="00507BDB">
            <w:pPr>
              <w:spacing w:line="230" w:lineRule="auto"/>
            </w:pPr>
            <w:r>
              <w:rPr>
                <w:rFonts w:ascii="Cambria" w:eastAsia="Cambria" w:hAnsi="Cambria" w:cs="Cambria"/>
                <w:color w:val="1A1A1A"/>
                <w:sz w:val="18"/>
                <w:szCs w:val="18"/>
              </w:rPr>
              <w:t>Integrated by default</w:t>
            </w:r>
          </w:p>
        </w:tc>
        <w:tc>
          <w:tcPr>
            <w:tcW w:w="7256" w:type="dxa"/>
            <w:tcBorders>
              <w:top w:val="single" w:sz="2" w:space="0" w:color="CCCCCC"/>
              <w:left w:val="none" w:sz="0" w:space="0" w:color="FFFFFF"/>
              <w:bottom w:val="none" w:sz="0" w:space="0" w:color="FFFFFF"/>
              <w:right w:val="none" w:sz="0" w:space="0" w:color="FFFFFF"/>
            </w:tcBorders>
            <w:shd w:val="clear" w:color="auto" w:fill="FFFFFF"/>
            <w:tcMar>
              <w:top w:w="44" w:type="dxa"/>
              <w:left w:w="0" w:type="dxa"/>
              <w:bottom w:w="44" w:type="dxa"/>
              <w:right w:w="140" w:type="dxa"/>
            </w:tcMar>
          </w:tcPr>
          <w:p w14:paraId="451E53AD" w14:textId="77777777" w:rsidR="00CB336C" w:rsidRDefault="00507BDB">
            <w:pPr>
              <w:spacing w:line="230" w:lineRule="auto"/>
            </w:pPr>
            <w:r>
              <w:rPr>
                <w:rFonts w:ascii="Cambria" w:eastAsia="Cambria" w:hAnsi="Cambria" w:cs="Cambria"/>
                <w:color w:val="1A1A1A"/>
                <w:sz w:val="18"/>
                <w:szCs w:val="18"/>
              </w:rPr>
              <w:t>Output into the command applications already in use. No new screen, no new operator, no internet connection.</w:t>
            </w:r>
          </w:p>
        </w:tc>
      </w:tr>
      <w:tr w:rsidR="00CB336C" w14:paraId="451E53B1" w14:textId="77777777">
        <w:tc>
          <w:tcPr>
            <w:tcW w:w="2381" w:type="dxa"/>
            <w:tcBorders>
              <w:top w:val="single" w:sz="2" w:space="0" w:color="CCCCCC"/>
              <w:left w:val="none" w:sz="0" w:space="0" w:color="FFFFFF"/>
              <w:bottom w:val="single" w:sz="2" w:space="0" w:color="1A1A1A"/>
              <w:right w:val="none" w:sz="0" w:space="0" w:color="FFFFFF"/>
            </w:tcBorders>
            <w:shd w:val="clear" w:color="auto" w:fill="FFFFFF"/>
            <w:tcMar>
              <w:top w:w="44" w:type="dxa"/>
              <w:left w:w="0" w:type="dxa"/>
              <w:bottom w:w="44" w:type="dxa"/>
              <w:right w:w="140" w:type="dxa"/>
            </w:tcMar>
          </w:tcPr>
          <w:p w14:paraId="451E53AF" w14:textId="77777777" w:rsidR="00CB336C" w:rsidRDefault="00507BDB">
            <w:pPr>
              <w:spacing w:line="230" w:lineRule="auto"/>
            </w:pPr>
            <w:r>
              <w:rPr>
                <w:rFonts w:ascii="Cambria" w:eastAsia="Cambria" w:hAnsi="Cambria" w:cs="Cambria"/>
                <w:color w:val="1A1A1A"/>
                <w:sz w:val="18"/>
                <w:szCs w:val="18"/>
              </w:rPr>
              <w:t>Independent of satellite timing</w:t>
            </w:r>
          </w:p>
        </w:tc>
        <w:tc>
          <w:tcPr>
            <w:tcW w:w="7256" w:type="dxa"/>
            <w:tcBorders>
              <w:top w:val="single" w:sz="2" w:space="0" w:color="CCCCCC"/>
              <w:left w:val="none" w:sz="0" w:space="0" w:color="FFFFFF"/>
              <w:bottom w:val="single" w:sz="2" w:space="0" w:color="1A1A1A"/>
              <w:right w:val="none" w:sz="0" w:space="0" w:color="FFFFFF"/>
            </w:tcBorders>
            <w:shd w:val="clear" w:color="auto" w:fill="FFFFFF"/>
            <w:tcMar>
              <w:top w:w="44" w:type="dxa"/>
              <w:left w:w="0" w:type="dxa"/>
              <w:bottom w:w="44" w:type="dxa"/>
              <w:right w:w="140" w:type="dxa"/>
            </w:tcMar>
          </w:tcPr>
          <w:p w14:paraId="451E53B0" w14:textId="77777777" w:rsidR="00CB336C" w:rsidRDefault="00507BDB">
            <w:pPr>
              <w:spacing w:line="230" w:lineRule="auto"/>
            </w:pPr>
            <w:r>
              <w:rPr>
                <w:rFonts w:ascii="Cambria" w:eastAsia="Cambria" w:hAnsi="Cambria" w:cs="Cambria"/>
                <w:color w:val="1A1A1A"/>
                <w:sz w:val="18"/>
                <w:szCs w:val="18"/>
              </w:rPr>
              <w:t>Satellite timing where available, other techniques where not, so jamming degrades the answer without disabling the sensor.</w:t>
            </w:r>
          </w:p>
        </w:tc>
      </w:tr>
    </w:tbl>
    <w:p w14:paraId="451E53B2" w14:textId="77777777" w:rsidR="00CB336C" w:rsidRDefault="00CB336C">
      <w:pPr>
        <w:spacing w:after="140"/>
      </w:pPr>
    </w:p>
    <w:p w14:paraId="451E53B3" w14:textId="77777777" w:rsidR="00CB336C" w:rsidRDefault="00507BDB">
      <w:pPr>
        <w:pStyle w:val="Heading1"/>
        <w:keepNext/>
        <w:spacing w:before="195" w:after="88"/>
      </w:pPr>
      <w:r>
        <w:rPr>
          <w:rFonts w:ascii="Cambria" w:eastAsia="Cambria" w:hAnsi="Cambria" w:cs="Cambria"/>
          <w:b/>
          <w:bCs/>
          <w:color w:val="1A1A1A"/>
          <w:sz w:val="23"/>
          <w:szCs w:val="23"/>
        </w:rPr>
        <w:t>4. How a distributed sensing layer works</w:t>
      </w:r>
    </w:p>
    <w:p w14:paraId="451E53B4" w14:textId="3DA4223F" w:rsidR="00CB336C" w:rsidRDefault="00507BDB">
      <w:pPr>
        <w:spacing w:after="100" w:line="246" w:lineRule="auto"/>
      </w:pPr>
      <w:r>
        <w:rPr>
          <w:rFonts w:ascii="Cambria" w:eastAsia="Cambria" w:hAnsi="Cambria" w:cs="Cambria"/>
        </w:rPr>
        <w:t>A sensor is a commercial software-defined receiver with a small antenna array for bearing measurement, an optional satellite-disciplined timing reference, a heading sensor, a low-rate mesh radio and a battery. Sensors form an encrypted</w:t>
      </w:r>
      <w:r w:rsidR="00A43E19">
        <w:rPr>
          <w:rFonts w:ascii="Cambria" w:eastAsia="Cambria" w:hAnsi="Cambria" w:cs="Cambria"/>
        </w:rPr>
        <w:t>, self-organising mesh, or use the unit's own communications where available</w:t>
      </w:r>
      <w:r>
        <w:rPr>
          <w:rFonts w:ascii="Cambria" w:eastAsia="Cambria" w:hAnsi="Cambria" w:cs="Cambria"/>
        </w:rPr>
        <w:t>.</w:t>
      </w:r>
    </w:p>
    <w:p w14:paraId="451E53B8" w14:textId="77777777" w:rsidR="00CB336C" w:rsidRDefault="00507BDB">
      <w:pPr>
        <w:spacing w:after="100" w:line="246" w:lineRule="auto"/>
      </w:pPr>
      <w:r>
        <w:rPr>
          <w:rFonts w:ascii="Cambria" w:eastAsia="Cambria" w:hAnsi="Cambria" w:cs="Cambria"/>
        </w:rPr>
        <w:t>What crosses the mesh is decisions rather than data. Each sensor reduces what it hears to a compact report: a classified detection with a confidence, a bearing with its uncertainty, a timing measurement, or a fused position with its error. Raw intercept never leaves the sensor. The coordination load therefore fits inside a few hundred bits per second. The network survives the loss of any bearer, carries no operator content, and scales with sensor numbers rather than saturating.</w:t>
      </w:r>
    </w:p>
    <w:p w14:paraId="451E53B9" w14:textId="77777777" w:rsidR="00CB336C" w:rsidRDefault="00507BDB">
      <w:pPr>
        <w:spacing w:after="100" w:line="246" w:lineRule="auto"/>
      </w:pPr>
      <w:r>
        <w:rPr>
          <w:rFonts w:ascii="Cambria" w:eastAsia="Cambria" w:hAnsi="Cambria" w:cs="Cambria"/>
        </w:rPr>
        <w:t>Three measurement methods are fused automatically. Angle of Arrival and Pseudo-Doppler techniques give each sensor a bearing. Time Difference of Arrival between sensors sharing a clock yields a position once three or more hear the same emission. Received signal strength corroborates both. Each carries its own uncertainty, and the error radius on the map derives from that and from the geometry of the contributing sensors. A weak fix therefore appears as a large ring rather than a confident point. Where satel</w:t>
      </w:r>
      <w:r>
        <w:rPr>
          <w:rFonts w:ascii="Cambria" w:eastAsia="Cambria" w:hAnsi="Cambria" w:cs="Cambria"/>
        </w:rPr>
        <w:t>lite signals are denied, timing degrades but geolocations can continue through alternative techniques.</w:t>
      </w:r>
    </w:p>
    <w:p w14:paraId="451E53BA" w14:textId="25134E53" w:rsidR="00CB336C" w:rsidRDefault="00507BDB">
      <w:pPr>
        <w:spacing w:after="100" w:line="246" w:lineRule="auto"/>
      </w:pPr>
      <w:r>
        <w:rPr>
          <w:rFonts w:ascii="Cambria" w:eastAsia="Cambria" w:hAnsi="Cambria" w:cs="Cambria"/>
        </w:rPr>
        <w:t xml:space="preserve">Geometry is the variable the user actually controls. Widening </w:t>
      </w:r>
      <w:r w:rsidR="00A43E19">
        <w:rPr>
          <w:rFonts w:ascii="Cambria" w:eastAsia="Cambria" w:hAnsi="Cambria" w:cs="Cambria"/>
        </w:rPr>
        <w:t>an array's spread</w:t>
      </w:r>
      <w:r>
        <w:rPr>
          <w:rFonts w:ascii="Cambria" w:eastAsia="Cambria" w:hAnsi="Cambria" w:cs="Cambria"/>
        </w:rPr>
        <w:t xml:space="preserve"> improves the achievable fix far more than improving any individual sensor. Numbers are the accuracy mechanism, and only a distributed capability can exploit that. Software can grade the layout and advise where the next sensor should go, so good geometry does not depend on a specialist. Classification at the sensor is rule-based and explainable, so every alert carries a reason a soldier can act on. Threat ratings come from a central library that specialists own and update, exactly as CREW loadsets did.</w:t>
      </w:r>
    </w:p>
    <w:p w14:paraId="451E53BB" w14:textId="77777777" w:rsidR="00CB336C" w:rsidRDefault="00507BDB">
      <w:pPr>
        <w:pStyle w:val="Heading1"/>
        <w:keepNext/>
        <w:spacing w:before="195" w:after="88"/>
      </w:pPr>
      <w:r>
        <w:rPr>
          <w:rFonts w:ascii="Cambria" w:eastAsia="Cambria" w:hAnsi="Cambria" w:cs="Cambria"/>
          <w:b/>
          <w:bCs/>
          <w:color w:val="1A1A1A"/>
          <w:sz w:val="23"/>
          <w:szCs w:val="23"/>
        </w:rPr>
        <w:t>5. Where it would be deployed</w:t>
      </w:r>
    </w:p>
    <w:p w14:paraId="451E53BC" w14:textId="77777777" w:rsidR="00CB336C" w:rsidRDefault="00507BDB">
      <w:pPr>
        <w:spacing w:after="100" w:line="246" w:lineRule="auto"/>
      </w:pPr>
      <w:r>
        <w:rPr>
          <w:rFonts w:ascii="Cambria" w:eastAsia="Cambria" w:hAnsi="Cambria" w:cs="Cambria"/>
        </w:rPr>
        <w:t>The most obvious application is mobile. One sensor per vehicle produces a mesh that travels with a convoy or combat team. The crew sees emitters along the route and around the harbour on their existing battle management system.</w:t>
      </w:r>
    </w:p>
    <w:p w14:paraId="451E53BD" w14:textId="77777777" w:rsidR="00CB336C" w:rsidRDefault="00507BDB">
      <w:pPr>
        <w:spacing w:after="100" w:line="246" w:lineRule="auto"/>
      </w:pPr>
      <w:r>
        <w:rPr>
          <w:rFonts w:ascii="Cambria" w:eastAsia="Cambria" w:hAnsi="Cambria" w:cs="Cambria"/>
        </w:rPr>
        <w:t>Fixed sites are the complementary case. An array across a base and its approaches warns of uncrewed aircraft operators working from the surrounding road network, and cues counter-UAS effectors onto them. Sensors at a fixed site can be surveyed in, which removes the largest source of bearing error. They also accumulate a baseline of normal activity, against which a new link near a sensitive face stands out.</w:t>
      </w:r>
    </w:p>
    <w:p w14:paraId="451E53BE" w14:textId="77777777" w:rsidR="00CB336C" w:rsidRDefault="00507BDB">
      <w:pPr>
        <w:spacing w:after="100" w:line="246" w:lineRule="auto"/>
        <w:rPr>
          <w:rFonts w:ascii="Cambria" w:eastAsia="Cambria" w:hAnsi="Cambria" w:cs="Cambria"/>
        </w:rPr>
      </w:pPr>
      <w:r>
        <w:rPr>
          <w:rFonts w:ascii="Cambria" w:eastAsia="Cambria" w:hAnsi="Cambria" w:cs="Cambria"/>
        </w:rPr>
        <w:t>A third use is in training. A mesh emplaced by exercise control measures a training force's signature objectively: what is visible, at what range, and whether the signals plan was followed. It is likely the cheapest way to change emission behaviour across a force – the embarrassment of "friendly fire". None of this displaces electronic warfare formations, which gain a force-wide picture and relief from routine warning.</w:t>
      </w:r>
    </w:p>
    <w:p w14:paraId="1A4A802A" w14:textId="77777777" w:rsidR="006E2DB6" w:rsidRDefault="006E2DB6">
      <w:pPr>
        <w:spacing w:after="100" w:line="246" w:lineRule="auto"/>
      </w:pPr>
    </w:p>
    <w:p w14:paraId="451E53BF" w14:textId="77777777" w:rsidR="00CB336C" w:rsidRDefault="00507BDB">
      <w:pPr>
        <w:pStyle w:val="Heading1"/>
        <w:keepNext/>
        <w:spacing w:before="195" w:after="88"/>
      </w:pPr>
      <w:r>
        <w:rPr>
          <w:rFonts w:ascii="Cambria" w:eastAsia="Cambria" w:hAnsi="Cambria" w:cs="Cambria"/>
          <w:b/>
          <w:bCs/>
          <w:color w:val="1A1A1A"/>
          <w:sz w:val="23"/>
          <w:szCs w:val="23"/>
        </w:rPr>
        <w:lastRenderedPageBreak/>
        <w:t>6. Where the evidence stands</w:t>
      </w:r>
    </w:p>
    <w:p w14:paraId="451E53C0" w14:textId="5D3C9F8F" w:rsidR="00CB336C" w:rsidRDefault="00507BDB">
      <w:pPr>
        <w:spacing w:after="100" w:line="246" w:lineRule="auto"/>
      </w:pPr>
      <w:r>
        <w:rPr>
          <w:rFonts w:ascii="Cambria" w:eastAsia="Cambria" w:hAnsi="Cambria" w:cs="Cambria"/>
        </w:rPr>
        <w:t>Every component technology is in wide commercial or military use</w:t>
      </w:r>
      <w:r w:rsidR="00A43E19">
        <w:rPr>
          <w:rFonts w:ascii="Cambria" w:eastAsia="Cambria" w:hAnsi="Cambria" w:cs="Cambria"/>
        </w:rPr>
        <w:t>, but not all together in a single low-</w:t>
      </w:r>
      <w:r>
        <w:rPr>
          <w:rFonts w:ascii="Cambria" w:eastAsia="Cambria" w:hAnsi="Cambria" w:cs="Cambria"/>
        </w:rPr>
        <w:t>cost system. Ukraine's Sky Fortress acoustic network has been reported at approximately 9,500 sensors, costing roughly US$400 to US$500 each.</w:t>
      </w:r>
      <w:r>
        <w:rPr>
          <w:rFonts w:ascii="Cambria" w:eastAsia="Cambria" w:hAnsi="Cambria" w:cs="Cambria"/>
          <w:sz w:val="16"/>
          <w:szCs w:val="16"/>
          <w:vertAlign w:val="superscript"/>
        </w:rPr>
        <w:t>[3]</w:t>
      </w:r>
      <w:r>
        <w:rPr>
          <w:rFonts w:ascii="Cambria" w:eastAsia="Cambria" w:hAnsi="Cambria" w:cs="Cambria"/>
        </w:rPr>
        <w:t xml:space="preserve"> Defence ministries in several NATO countries have since evaluated or begun purchasing acoustic detection equipment on Ukrainian experience.</w:t>
      </w:r>
      <w:r>
        <w:rPr>
          <w:rFonts w:ascii="Cambria" w:eastAsia="Cambria" w:hAnsi="Cambria" w:cs="Cambria"/>
          <w:sz w:val="16"/>
          <w:szCs w:val="16"/>
          <w:vertAlign w:val="superscript"/>
        </w:rPr>
        <w:t>[4]</w:t>
      </w:r>
      <w:r>
        <w:rPr>
          <w:rFonts w:ascii="Cambria" w:eastAsia="Cambria" w:hAnsi="Cambria" w:cs="Cambria"/>
        </w:rPr>
        <w:t xml:space="preserve"> What has not been demonstrated at comparable scale is the same approach in the radio-frequency domain.</w:t>
      </w:r>
    </w:p>
    <w:p w14:paraId="451E53C1" w14:textId="4CF9445B" w:rsidR="00CB336C" w:rsidRDefault="00507BDB">
      <w:pPr>
        <w:spacing w:after="100" w:line="246" w:lineRule="auto"/>
      </w:pPr>
      <w:r>
        <w:rPr>
          <w:rFonts w:ascii="Cambria" w:eastAsia="Cambria" w:hAnsi="Cambria" w:cs="Cambria"/>
        </w:rPr>
        <w:t xml:space="preserve">Physics also sets limits on what can be located. A continuous or noise jammer carries no timing reference that two sensors can share, so it can be detected and bearing-located but not timed, limiting one </w:t>
      </w:r>
      <w:r w:rsidR="00E273CC">
        <w:rPr>
          <w:rFonts w:ascii="Cambria" w:eastAsia="Cambria" w:hAnsi="Cambria" w:cs="Cambria"/>
        </w:rPr>
        <w:t>geolocation technique</w:t>
      </w:r>
      <w:r>
        <w:rPr>
          <w:rFonts w:ascii="Cambria" w:eastAsia="Cambria" w:hAnsi="Cambria" w:cs="Cambria"/>
        </w:rPr>
        <w:t>. Analogue video carries no identifying structure, so two aircraft on one channel cannot be separated easily. Some military datalinks are wider than a commercial receiver can capture. And some threats do not radiate a control link at all, such as fibre FPV drones, where conventional RF jamming is ineffective against their control link and an RF sensor has no control link to hear.</w:t>
      </w:r>
      <w:r>
        <w:rPr>
          <w:rFonts w:ascii="Cambria" w:eastAsia="Cambria" w:hAnsi="Cambria" w:cs="Cambria"/>
          <w:sz w:val="16"/>
          <w:szCs w:val="16"/>
          <w:vertAlign w:val="superscript"/>
        </w:rPr>
        <w:t>[9,10]</w:t>
      </w:r>
      <w:r>
        <w:rPr>
          <w:rFonts w:ascii="Cambria" w:eastAsia="Cambria" w:hAnsi="Cambria" w:cs="Cambria"/>
        </w:rPr>
        <w:t xml:space="preserve"> NATO is actively seeking ways to detect and neutralise such aircraft.</w:t>
      </w:r>
      <w:r>
        <w:rPr>
          <w:rFonts w:ascii="Cambria" w:eastAsia="Cambria" w:hAnsi="Cambria" w:cs="Cambria"/>
          <w:sz w:val="16"/>
          <w:szCs w:val="16"/>
          <w:vertAlign w:val="superscript"/>
        </w:rPr>
        <w:t>[11]</w:t>
      </w:r>
      <w:r>
        <w:rPr>
          <w:rFonts w:ascii="Cambria" w:eastAsia="Cambria" w:hAnsi="Cambria" w:cs="Cambria"/>
        </w:rPr>
        <w:t xml:space="preserve"> The honest claim is warning first, bearing second, and a position where geometry and waveform allow it. EMFP is one modality in a layered detection network rather than a complete answer.</w:t>
      </w:r>
    </w:p>
    <w:p w14:paraId="451E53C2" w14:textId="77777777" w:rsidR="00CB336C" w:rsidRDefault="00507BDB">
      <w:pPr>
        <w:spacing w:after="100" w:line="246" w:lineRule="auto"/>
      </w:pPr>
      <w:r>
        <w:rPr>
          <w:rFonts w:ascii="Cambria" w:eastAsia="Cambria" w:hAnsi="Cambria" w:cs="Cambria"/>
        </w:rPr>
        <w:t>A sensing capability that coordinates by radio has a signature of its own. The design minimises that signature and lets the commander silence it. Silencing it also stops the products. That trade between reporting and exposure is one the commander must own and the capability must make visible.</w:t>
      </w:r>
    </w:p>
    <w:p w14:paraId="451E53C3" w14:textId="4A809823" w:rsidR="00CB336C" w:rsidRDefault="00507BDB">
      <w:pPr>
        <w:spacing w:after="100" w:line="246" w:lineRule="auto"/>
      </w:pPr>
      <w:r>
        <w:rPr>
          <w:rFonts w:ascii="Cambria" w:eastAsia="Cambria" w:hAnsi="Cambria" w:cs="Cambria"/>
        </w:rPr>
        <w:t>False alarms are the other operational risk. Classification on centre frequency a</w:t>
      </w:r>
      <w:r w:rsidR="00843225">
        <w:rPr>
          <w:rFonts w:ascii="Cambria" w:eastAsia="Cambria" w:hAnsi="Cambria" w:cs="Cambria"/>
        </w:rPr>
        <w:t>,</w:t>
      </w:r>
      <w:r>
        <w:rPr>
          <w:rFonts w:ascii="Cambria" w:eastAsia="Cambria" w:hAnsi="Cambria" w:cs="Cambria"/>
        </w:rPr>
        <w:t>nd bandwidth alone will mistake civilian emitters for threats in a dense environment. A fielded capability needs environment profiles, friendly-emitter lists and operator overrides, all owned centrally. That is CREW's library lesson restated. Its sustainment lesson applies equally: presence on the day depended on maintainers and updates, not on the original purchase.</w:t>
      </w:r>
    </w:p>
    <w:p w14:paraId="451E53C4" w14:textId="77777777" w:rsidR="00CB336C" w:rsidRDefault="00507BDB">
      <w:pPr>
        <w:pStyle w:val="Heading1"/>
        <w:keepNext/>
        <w:spacing w:before="195" w:after="88"/>
      </w:pPr>
      <w:r>
        <w:rPr>
          <w:rFonts w:ascii="Cambria" w:eastAsia="Cambria" w:hAnsi="Cambria" w:cs="Cambria"/>
          <w:b/>
          <w:bCs/>
          <w:color w:val="1A1A1A"/>
          <w:sz w:val="23"/>
          <w:szCs w:val="23"/>
        </w:rPr>
        <w:t>7. Conclusion</w:t>
      </w:r>
    </w:p>
    <w:p w14:paraId="451E53C5" w14:textId="77777777" w:rsidR="00CB336C" w:rsidRDefault="00507BDB">
      <w:pPr>
        <w:spacing w:after="100" w:line="246" w:lineRule="auto"/>
      </w:pPr>
      <w:r>
        <w:rPr>
          <w:rFonts w:ascii="Cambria" w:eastAsia="Cambria" w:hAnsi="Cambria" w:cs="Cambria"/>
        </w:rPr>
        <w:t>The force protection problem in the spectrum will not be solved by a few more exquisite systems, any more than the IED problem was solved by a few more electronic warfare detachments. It was solved by putting protection onto every platform meeting the threat, and letting the crew get on with the mission.</w:t>
      </w:r>
    </w:p>
    <w:p w14:paraId="451E53C6" w14:textId="77777777" w:rsidR="00CB336C" w:rsidRDefault="00507BDB">
      <w:pPr>
        <w:spacing w:after="100" w:line="246" w:lineRule="auto"/>
      </w:pPr>
      <w:r>
        <w:rPr>
          <w:rFonts w:ascii="Cambria" w:eastAsia="Cambria" w:hAnsi="Cambria" w:cs="Cambria"/>
        </w:rPr>
        <w:t>The same model, applied to passive sensing, would let every element of a force see what is radiating around it and what it looks like in return. The threat has already made the spectrum a force protection problem; electromagnetic force protection is the name for meeting it.</w:t>
      </w:r>
    </w:p>
    <w:p w14:paraId="451E53C7" w14:textId="77777777" w:rsidR="00CB336C" w:rsidRDefault="00507BDB">
      <w:pPr>
        <w:pStyle w:val="Heading1"/>
        <w:keepNext/>
        <w:pBdr>
          <w:top w:val="single" w:sz="4" w:space="6" w:color="9A9A9A"/>
        </w:pBdr>
        <w:spacing w:before="230" w:after="70"/>
      </w:pPr>
      <w:r>
        <w:rPr>
          <w:rFonts w:ascii="Cambria" w:eastAsia="Cambria" w:hAnsi="Cambria" w:cs="Cambria"/>
          <w:b/>
          <w:bCs/>
          <w:caps/>
          <w:color w:val="1A1A1A"/>
          <w:spacing w:val="40"/>
          <w:sz w:val="18"/>
          <w:szCs w:val="18"/>
        </w:rPr>
        <w:t>References</w:t>
      </w:r>
    </w:p>
    <w:p w14:paraId="451E53C8" w14:textId="3C00C34A" w:rsidR="00CB336C" w:rsidRPr="00A43E19" w:rsidRDefault="00CB336C">
      <w:pPr>
        <w:spacing w:after="26" w:line="200" w:lineRule="auto"/>
        <w:ind w:left="240" w:hanging="240"/>
      </w:pPr>
    </w:p>
    <w:p w14:paraId="451E53C9" w14:textId="728867EC" w:rsidR="00CB336C" w:rsidRPr="00A43E19" w:rsidRDefault="00507BDB">
      <w:pPr>
        <w:spacing w:after="26" w:line="200" w:lineRule="auto"/>
        <w:ind w:left="240" w:hanging="240"/>
      </w:pPr>
      <w:r w:rsidRPr="00A43E19">
        <w:rPr>
          <w:rFonts w:ascii="Cambria" w:eastAsia="Cambria" w:hAnsi="Cambria" w:cs="Cambria"/>
          <w:color w:val="333333"/>
        </w:rPr>
        <w:t xml:space="preserve">[1] John R. Hoehn, </w:t>
      </w:r>
      <w:r w:rsidRPr="00A43E19">
        <w:rPr>
          <w:rFonts w:ascii="Cambria" w:eastAsia="Cambria" w:hAnsi="Cambria" w:cs="Cambria"/>
          <w:i/>
          <w:iCs/>
          <w:color w:val="333333"/>
        </w:rPr>
        <w:t>Ground Electronic Warfare: Background and Issues for Congress</w:t>
      </w:r>
      <w:r w:rsidRPr="00A43E19">
        <w:rPr>
          <w:rFonts w:ascii="Cambria" w:eastAsia="Cambria" w:hAnsi="Cambria" w:cs="Cambria"/>
          <w:color w:val="333333"/>
        </w:rPr>
        <w:t xml:space="preserve">, Congressional Research Service, R45919, 17 September 2019. </w:t>
      </w:r>
      <w:hyperlink r:id="rId7" w:history="1">
        <w:r w:rsidR="00CB336C" w:rsidRPr="004A0A80">
          <w:rPr>
            <w:rStyle w:val="Hyperlink"/>
            <w:rFonts w:ascii="Cambria" w:eastAsia="Cambria" w:hAnsi="Cambria" w:cs="Cambria"/>
          </w:rPr>
          <w:t>congress.gov/crs_external_products/R/PDF/R45919/R45919.1.pdf</w:t>
        </w:r>
      </w:hyperlink>
    </w:p>
    <w:p w14:paraId="451E53CA" w14:textId="675B45E6" w:rsidR="00CB336C" w:rsidRPr="00A43E19" w:rsidRDefault="00507BDB">
      <w:pPr>
        <w:spacing w:after="26" w:line="200" w:lineRule="auto"/>
        <w:ind w:left="240" w:hanging="240"/>
      </w:pPr>
      <w:r w:rsidRPr="00A43E19">
        <w:rPr>
          <w:rFonts w:ascii="Cambria" w:eastAsia="Cambria" w:hAnsi="Cambria" w:cs="Cambria"/>
          <w:color w:val="333333"/>
        </w:rPr>
        <w:t xml:space="preserve">[2] Matthew Slusher, </w:t>
      </w:r>
      <w:r w:rsidRPr="00A43E19">
        <w:rPr>
          <w:rFonts w:ascii="Cambria" w:eastAsia="Cambria" w:hAnsi="Cambria" w:cs="Cambria"/>
          <w:i/>
          <w:iCs/>
          <w:color w:val="333333"/>
        </w:rPr>
        <w:t>Lessons from the Ukraine Conflict: Modern Warfare in the Age of Autonomy, Information, and Resilience</w:t>
      </w:r>
      <w:r w:rsidRPr="00A43E19">
        <w:rPr>
          <w:rFonts w:ascii="Cambria" w:eastAsia="Cambria" w:hAnsi="Cambria" w:cs="Cambria"/>
          <w:color w:val="333333"/>
        </w:rPr>
        <w:t xml:space="preserve">, Center for Strategic and International Studies, 2 May 2025. Source of the Landrum quotation, the operator-targeting finding and the judgement on jamming's decisiveness. </w:t>
      </w:r>
      <w:hyperlink r:id="rId8" w:history="1">
        <w:r w:rsidR="00CB336C" w:rsidRPr="004A0A80">
          <w:rPr>
            <w:rStyle w:val="Hyperlink"/>
            <w:rFonts w:ascii="Cambria" w:eastAsia="Cambria" w:hAnsi="Cambria" w:cs="Cambria"/>
          </w:rPr>
          <w:t>csis.org/analysis/lessons-ukraine-conflict-modern-warfare-age-autonomy-information-and-resilience</w:t>
        </w:r>
      </w:hyperlink>
    </w:p>
    <w:p w14:paraId="451E53CB" w14:textId="5388B4C9" w:rsidR="00CB336C" w:rsidRPr="00A43E19" w:rsidRDefault="00507BDB">
      <w:pPr>
        <w:spacing w:after="26" w:line="200" w:lineRule="auto"/>
        <w:ind w:left="240" w:hanging="240"/>
      </w:pPr>
      <w:r w:rsidRPr="00A43E19">
        <w:rPr>
          <w:rFonts w:ascii="Cambria" w:eastAsia="Cambria" w:hAnsi="Cambria" w:cs="Cambria"/>
          <w:color w:val="333333"/>
        </w:rPr>
        <w:t xml:space="preserve">[3] COL J.J. Serowik, </w:t>
      </w:r>
      <w:r w:rsidRPr="00A43E19">
        <w:rPr>
          <w:rFonts w:ascii="Cambria" w:eastAsia="Cambria" w:hAnsi="Cambria" w:cs="Cambria"/>
          <w:i/>
          <w:iCs/>
          <w:color w:val="333333"/>
        </w:rPr>
        <w:t>Listening to the Sky: Acoustic Drone Detection Systems – Ukraine &amp; Emerging Technologies</w:t>
      </w:r>
      <w:r w:rsidRPr="00A43E19">
        <w:rPr>
          <w:rFonts w:ascii="Cambria" w:eastAsia="Cambria" w:hAnsi="Cambria" w:cs="Cambria"/>
          <w:color w:val="333333"/>
        </w:rPr>
        <w:t xml:space="preserve">, Center for Army Lessons Learned, United States Army, 30 April 2026. </w:t>
      </w:r>
      <w:hyperlink r:id="rId9" w:history="1">
        <w:r w:rsidR="00B71B01" w:rsidRPr="004A0A80">
          <w:rPr>
            <w:rStyle w:val="Hyperlink"/>
            <w:rFonts w:ascii="Cambria" w:eastAsia="Cambria" w:hAnsi="Cambria" w:cs="Cambria"/>
          </w:rPr>
          <w:t>https://api.army.mil/e2/c/downloads/2026/04/30/af450e75/no-26-1115-listening-to-the-sky-acoustic-drone-detection-in-ukraine-mar-26.pdf</w:t>
        </w:r>
      </w:hyperlink>
    </w:p>
    <w:p w14:paraId="451E53CC" w14:textId="25E7F0A8" w:rsidR="00CB336C" w:rsidRPr="00A43E19" w:rsidRDefault="00507BDB">
      <w:pPr>
        <w:spacing w:after="26" w:line="200" w:lineRule="auto"/>
        <w:ind w:left="240" w:hanging="240"/>
      </w:pPr>
      <w:r w:rsidRPr="00A43E19">
        <w:rPr>
          <w:rFonts w:ascii="Cambria" w:eastAsia="Cambria" w:hAnsi="Cambria" w:cs="Cambria"/>
          <w:color w:val="333333"/>
        </w:rPr>
        <w:t xml:space="preserve">[4] Vadim Kushnikov, </w:t>
      </w:r>
      <w:r w:rsidRPr="00A43E19">
        <w:rPr>
          <w:rFonts w:ascii="Cambria" w:eastAsia="Cambria" w:hAnsi="Cambria" w:cs="Cambria"/>
          <w:i/>
          <w:iCs/>
          <w:color w:val="333333"/>
        </w:rPr>
        <w:t>NATO Shows Interest in Ukrainian Acoustic Detection Networks for Air Defense</w:t>
      </w:r>
      <w:r w:rsidRPr="00A43E19">
        <w:rPr>
          <w:rFonts w:ascii="Cambria" w:eastAsia="Cambria" w:hAnsi="Cambria" w:cs="Cambria"/>
          <w:color w:val="333333"/>
        </w:rPr>
        <w:t xml:space="preserve">, Militarnyi, 29 July 2024. </w:t>
      </w:r>
      <w:hyperlink r:id="rId10" w:history="1">
        <w:r w:rsidR="00CB336C" w:rsidRPr="004A0A80">
          <w:rPr>
            <w:rStyle w:val="Hyperlink"/>
            <w:rFonts w:ascii="Cambria" w:eastAsia="Cambria" w:hAnsi="Cambria" w:cs="Cambria"/>
          </w:rPr>
          <w:t>militarnyi.com/en/news/nato-shows-interest-in-ukrainian-acoustic-detection-networks-for-air-defense</w:t>
        </w:r>
      </w:hyperlink>
    </w:p>
    <w:p w14:paraId="451E53CD" w14:textId="751B3DB6" w:rsidR="00CB336C" w:rsidRPr="00A43E19" w:rsidRDefault="00507BDB">
      <w:pPr>
        <w:spacing w:after="26" w:line="200" w:lineRule="auto"/>
        <w:ind w:left="240" w:hanging="240"/>
      </w:pPr>
      <w:r w:rsidRPr="00A43E19">
        <w:rPr>
          <w:rFonts w:ascii="Cambria" w:eastAsia="Cambria" w:hAnsi="Cambria" w:cs="Cambria"/>
          <w:color w:val="333333"/>
        </w:rPr>
        <w:t xml:space="preserve">[5] Anthony H. Cordesman, Marissa Allison, Vivek Kocharlakota, Jason Lemieux and Charles Loi, </w:t>
      </w:r>
      <w:r w:rsidRPr="00A43E19">
        <w:rPr>
          <w:rFonts w:ascii="Cambria" w:eastAsia="Cambria" w:hAnsi="Cambria" w:cs="Cambria"/>
          <w:i/>
          <w:iCs/>
          <w:color w:val="333333"/>
        </w:rPr>
        <w:t>Afghan and Iraqi Metrics and the IED Threat</w:t>
      </w:r>
      <w:r w:rsidRPr="00A43E19">
        <w:rPr>
          <w:rFonts w:ascii="Cambria" w:eastAsia="Cambria" w:hAnsi="Cambria" w:cs="Cambria"/>
          <w:color w:val="333333"/>
        </w:rPr>
        <w:t xml:space="preserve">, Center for Strategic and International Studies, 10 November 2010. </w:t>
      </w:r>
      <w:hyperlink r:id="rId11" w:history="1">
        <w:r w:rsidR="00CB336C" w:rsidRPr="004A0A80">
          <w:rPr>
            <w:rStyle w:val="Hyperlink"/>
            <w:rFonts w:ascii="Cambria" w:eastAsia="Cambria" w:hAnsi="Cambria" w:cs="Cambria"/>
          </w:rPr>
          <w:t>csis.org/analysis/afghan-and-iraqi-metrics-and-ied-threat</w:t>
        </w:r>
      </w:hyperlink>
    </w:p>
    <w:p w14:paraId="451E53CE" w14:textId="7CAF0956" w:rsidR="00CB336C" w:rsidRPr="00A43E19" w:rsidRDefault="00507BDB">
      <w:pPr>
        <w:spacing w:after="26" w:line="200" w:lineRule="auto"/>
        <w:ind w:left="240" w:hanging="240"/>
      </w:pPr>
      <w:r w:rsidRPr="00A43E19">
        <w:rPr>
          <w:rFonts w:ascii="Cambria" w:eastAsia="Cambria" w:hAnsi="Cambria" w:cs="Cambria"/>
          <w:color w:val="333333"/>
        </w:rPr>
        <w:t xml:space="preserve">[6] Robert K. Ackerman, </w:t>
      </w:r>
      <w:r w:rsidRPr="00A43E19">
        <w:rPr>
          <w:rFonts w:ascii="Cambria" w:eastAsia="Cambria" w:hAnsi="Cambria" w:cs="Cambria"/>
          <w:i/>
          <w:iCs/>
          <w:color w:val="333333"/>
        </w:rPr>
        <w:t>Iraq Hones Army Electronic Warfare</w:t>
      </w:r>
      <w:r w:rsidRPr="00A43E19">
        <w:rPr>
          <w:rFonts w:ascii="Cambria" w:eastAsia="Cambria" w:hAnsi="Cambria" w:cs="Cambria"/>
          <w:color w:val="333333"/>
        </w:rPr>
        <w:t xml:space="preserve">, SIGNAL Magazine, AFCEA International, 1 June 2007. Documents counter-IED jammers interfering with friendly GPS, communications and Blue Force Tracking. </w:t>
      </w:r>
      <w:hyperlink r:id="rId12" w:history="1">
        <w:r w:rsidR="00CB336C" w:rsidRPr="008C6927">
          <w:rPr>
            <w:rStyle w:val="Hyperlink"/>
            <w:rFonts w:ascii="Cambria" w:eastAsia="Cambria" w:hAnsi="Cambria" w:cs="Cambria"/>
          </w:rPr>
          <w:t>afcea.org/signal-media/iraq-hones-army-electronic-warfare</w:t>
        </w:r>
      </w:hyperlink>
    </w:p>
    <w:p w14:paraId="451E53CF" w14:textId="5A0E9A80" w:rsidR="00CB336C" w:rsidRPr="00A43E19" w:rsidRDefault="00507BDB">
      <w:pPr>
        <w:spacing w:after="26" w:line="200" w:lineRule="auto"/>
        <w:ind w:left="240" w:hanging="240"/>
      </w:pPr>
      <w:r w:rsidRPr="00A43E19">
        <w:rPr>
          <w:rFonts w:ascii="Cambria" w:eastAsia="Cambria" w:hAnsi="Cambria" w:cs="Cambria"/>
          <w:color w:val="333333"/>
        </w:rPr>
        <w:t xml:space="preserve">[7] Jack Watling and Noah Sylvia, </w:t>
      </w:r>
      <w:r w:rsidRPr="00A43E19">
        <w:rPr>
          <w:rFonts w:ascii="Cambria" w:eastAsia="Cambria" w:hAnsi="Cambria" w:cs="Cambria"/>
          <w:i/>
          <w:iCs/>
          <w:color w:val="333333"/>
        </w:rPr>
        <w:t>Competitive Electronic Warfare in Modern Land Operations</w:t>
      </w:r>
      <w:r w:rsidRPr="00A43E19">
        <w:rPr>
          <w:rFonts w:ascii="Cambria" w:eastAsia="Cambria" w:hAnsi="Cambria" w:cs="Cambria"/>
          <w:color w:val="333333"/>
        </w:rPr>
        <w:t xml:space="preserve">, Royal United Services Institute, 30 January 2025. </w:t>
      </w:r>
      <w:hyperlink r:id="rId13" w:history="1">
        <w:r w:rsidR="008C6927" w:rsidRPr="004A0A80">
          <w:rPr>
            <w:rStyle w:val="Hyperlink"/>
            <w:rFonts w:ascii="Cambria" w:eastAsia="Cambria" w:hAnsi="Cambria" w:cs="Cambria"/>
          </w:rPr>
          <w:t>rusi.org/explore-our-research/publications/occasional-papers/competitive-electronic-warfare-modern-land-operations</w:t>
        </w:r>
      </w:hyperlink>
    </w:p>
    <w:p w14:paraId="451E53D0" w14:textId="1AF1503C" w:rsidR="00CB336C" w:rsidRPr="00A43E19" w:rsidRDefault="00507BDB">
      <w:pPr>
        <w:spacing w:after="26" w:line="200" w:lineRule="auto"/>
        <w:ind w:left="240" w:hanging="240"/>
      </w:pPr>
      <w:r w:rsidRPr="00A43E19">
        <w:rPr>
          <w:rFonts w:ascii="Cambria" w:eastAsia="Cambria" w:hAnsi="Cambria" w:cs="Cambria"/>
          <w:color w:val="333333"/>
        </w:rPr>
        <w:t xml:space="preserve">[8] Jack Watling and Nick Reynolds, </w:t>
      </w:r>
      <w:r w:rsidRPr="00A43E19">
        <w:rPr>
          <w:rFonts w:ascii="Cambria" w:eastAsia="Cambria" w:hAnsi="Cambria" w:cs="Cambria"/>
          <w:i/>
          <w:iCs/>
          <w:color w:val="333333"/>
        </w:rPr>
        <w:t>Meatgrinder: Russian Tactics in the Second Year of Its Invasion of Ukraine</w:t>
      </w:r>
      <w:r w:rsidRPr="00A43E19">
        <w:rPr>
          <w:rFonts w:ascii="Cambria" w:eastAsia="Cambria" w:hAnsi="Cambria" w:cs="Cambria"/>
          <w:color w:val="333333"/>
        </w:rPr>
        <w:t xml:space="preserve">, Royal United Services Institute, 19 May 2023. </w:t>
      </w:r>
      <w:hyperlink r:id="rId14" w:history="1">
        <w:r w:rsidR="00CB336C" w:rsidRPr="004A0A80">
          <w:rPr>
            <w:rStyle w:val="Hyperlink"/>
            <w:rFonts w:ascii="Cambria" w:eastAsia="Cambria" w:hAnsi="Cambria" w:cs="Cambria"/>
          </w:rPr>
          <w:t>rusi.org/explore-our-research/publications/special-resources/meatgrinder-russian-tactics-second-year-its-invasion-ukraine</w:t>
        </w:r>
      </w:hyperlink>
    </w:p>
    <w:p w14:paraId="451E53D1" w14:textId="65CE2DAB" w:rsidR="00CB336C" w:rsidRPr="00A43E19" w:rsidRDefault="00507BDB">
      <w:pPr>
        <w:spacing w:after="26" w:line="200" w:lineRule="auto"/>
        <w:ind w:left="240" w:hanging="240"/>
      </w:pPr>
      <w:r w:rsidRPr="00A43E19">
        <w:rPr>
          <w:rFonts w:ascii="Cambria" w:eastAsia="Cambria" w:hAnsi="Cambria" w:cs="Cambria"/>
          <w:color w:val="333333"/>
        </w:rPr>
        <w:t xml:space="preserve">[9] Matthew Slusher, Krista Auchenbach, Scott Murphy, Quinton Packard, Scott Pence and Luke Slivinski, </w:t>
      </w:r>
      <w:r w:rsidRPr="00A43E19">
        <w:rPr>
          <w:rFonts w:ascii="Cambria" w:eastAsia="Cambria" w:hAnsi="Cambria" w:cs="Cambria"/>
          <w:i/>
          <w:iCs/>
          <w:color w:val="333333"/>
        </w:rPr>
        <w:t>Conflict in Focus: Lessons from Russia-Ukraine</w:t>
      </w:r>
      <w:r w:rsidRPr="00A43E19">
        <w:rPr>
          <w:rFonts w:ascii="Cambria" w:eastAsia="Cambria" w:hAnsi="Cambria" w:cs="Cambria"/>
          <w:color w:val="333333"/>
        </w:rPr>
        <w:t xml:space="preserve">, Center for Strategic and International Studies, May 2025. </w:t>
      </w:r>
      <w:hyperlink r:id="rId15" w:history="1">
        <w:r w:rsidR="00CB336C" w:rsidRPr="004A0A80">
          <w:rPr>
            <w:rStyle w:val="Hyperlink"/>
            <w:rFonts w:ascii="Cambria" w:eastAsia="Cambria" w:hAnsi="Cambria" w:cs="Cambria"/>
          </w:rPr>
          <w:t>csis.org/analysis/conflict-focus-lessons-russia-ukraine</w:t>
        </w:r>
      </w:hyperlink>
    </w:p>
    <w:p w14:paraId="451E53D2" w14:textId="3DF74F6E" w:rsidR="00CB336C" w:rsidRPr="00A43E19" w:rsidRDefault="00507BDB">
      <w:pPr>
        <w:spacing w:after="26" w:line="200" w:lineRule="auto"/>
        <w:ind w:left="240" w:hanging="240"/>
      </w:pPr>
      <w:r w:rsidRPr="00A43E19">
        <w:rPr>
          <w:rFonts w:ascii="Cambria" w:eastAsia="Cambria" w:hAnsi="Cambria" w:cs="Cambria"/>
          <w:color w:val="333333"/>
        </w:rPr>
        <w:t xml:space="preserve">[10] Bohdan Miroshnychenko, </w:t>
      </w:r>
      <w:r w:rsidRPr="00A43E19">
        <w:rPr>
          <w:rFonts w:ascii="Cambria" w:eastAsia="Cambria" w:hAnsi="Cambria" w:cs="Cambria"/>
          <w:i/>
          <w:iCs/>
          <w:color w:val="333333"/>
        </w:rPr>
        <w:t>A weapon entirely immune to jamming: How Ukraine is rolling out production of fibre-optic drones</w:t>
      </w:r>
      <w:r w:rsidRPr="00A43E19">
        <w:rPr>
          <w:rFonts w:ascii="Cambria" w:eastAsia="Cambria" w:hAnsi="Cambria" w:cs="Cambria"/>
          <w:color w:val="333333"/>
        </w:rPr>
        <w:t xml:space="preserve">, Ukrainska Pravda, 13 January 2025. </w:t>
      </w:r>
      <w:hyperlink r:id="rId16" w:history="1">
        <w:r w:rsidR="00CB336C" w:rsidRPr="002C0AD8">
          <w:rPr>
            <w:rStyle w:val="Hyperlink"/>
            <w:rFonts w:ascii="Cambria" w:eastAsia="Cambria" w:hAnsi="Cambria" w:cs="Cambria"/>
          </w:rPr>
          <w:t>pravda.com.ua/eng/articles/2025/01/13/7493257</w:t>
        </w:r>
      </w:hyperlink>
    </w:p>
    <w:p w14:paraId="451E53D3" w14:textId="6F2C0617" w:rsidR="00CB336C" w:rsidRPr="00A43E19" w:rsidRDefault="00507BDB">
      <w:pPr>
        <w:spacing w:after="26" w:line="200" w:lineRule="auto"/>
        <w:ind w:left="240" w:hanging="240"/>
      </w:pPr>
      <w:r w:rsidRPr="00A43E19">
        <w:rPr>
          <w:rFonts w:ascii="Cambria" w:eastAsia="Cambria" w:hAnsi="Cambria" w:cs="Cambria"/>
          <w:color w:val="333333"/>
        </w:rPr>
        <w:t xml:space="preserve">[11] </w:t>
      </w:r>
      <w:r w:rsidRPr="00A43E19">
        <w:rPr>
          <w:rFonts w:ascii="Cambria" w:eastAsia="Cambria" w:hAnsi="Cambria" w:cs="Cambria"/>
          <w:i/>
          <w:iCs/>
          <w:color w:val="333333"/>
        </w:rPr>
        <w:t>NATO Seeks Solutions for Fiber-Optic FPV Drones</w:t>
      </w:r>
      <w:r w:rsidRPr="00A43E19">
        <w:rPr>
          <w:rFonts w:ascii="Cambria" w:eastAsia="Cambria" w:hAnsi="Cambria" w:cs="Cambria"/>
          <w:color w:val="333333"/>
        </w:rPr>
        <w:t xml:space="preserve">, Journal of Electromagnetic Dominance, 15 May 2025. </w:t>
      </w:r>
      <w:hyperlink r:id="rId17" w:history="1">
        <w:r w:rsidR="00CB336C" w:rsidRPr="002C0AD8">
          <w:rPr>
            <w:rStyle w:val="Hyperlink"/>
            <w:rFonts w:ascii="Cambria" w:eastAsia="Cambria" w:hAnsi="Cambria" w:cs="Cambria"/>
          </w:rPr>
          <w:t>jedonline.com/2025/05/15/nato-seeks-solutions-for-fiber-optic-fpv-drones</w:t>
        </w:r>
      </w:hyperlink>
    </w:p>
    <w:sectPr w:rsidR="00CB336C" w:rsidRPr="00A43E19">
      <w:headerReference w:type="default" r:id="rId18"/>
      <w:footerReference w:type="default" r:id="rId19"/>
      <w:pgSz w:w="11905" w:h="16837"/>
      <w:pgMar w:top="1020" w:right="1133" w:bottom="850" w:left="1133"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BF45E" w14:textId="77777777" w:rsidR="00507BDB" w:rsidRDefault="00507BDB">
      <w:r>
        <w:separator/>
      </w:r>
    </w:p>
  </w:endnote>
  <w:endnote w:type="continuationSeparator" w:id="0">
    <w:p w14:paraId="64517ABF" w14:textId="77777777" w:rsidR="00507BDB" w:rsidRDefault="00507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E53D5" w14:textId="1C474579" w:rsidR="00CB336C" w:rsidRDefault="00507BDB">
    <w:pPr>
      <w:jc w:val="center"/>
    </w:pPr>
    <w:r>
      <w:rPr>
        <w:rFonts w:ascii="Cambria" w:eastAsia="Cambria" w:hAnsi="Cambria" w:cs="Cambria"/>
        <w:color w:val="555555"/>
        <w:sz w:val="17"/>
        <w:szCs w:val="17"/>
      </w:rPr>
      <w:fldChar w:fldCharType="begin"/>
    </w:r>
    <w:r>
      <w:rPr>
        <w:rFonts w:ascii="Cambria" w:eastAsia="Cambria" w:hAnsi="Cambria" w:cs="Cambria"/>
        <w:color w:val="555555"/>
        <w:sz w:val="17"/>
        <w:szCs w:val="17"/>
      </w:rPr>
      <w:instrText>PAGE</w:instrText>
    </w:r>
    <w:r>
      <w:rPr>
        <w:rFonts w:ascii="Cambria" w:eastAsia="Cambria" w:hAnsi="Cambria" w:cs="Cambria"/>
        <w:color w:val="555555"/>
        <w:sz w:val="17"/>
        <w:szCs w:val="17"/>
      </w:rPr>
      <w:fldChar w:fldCharType="separate"/>
    </w:r>
    <w:r w:rsidR="00E273CC">
      <w:rPr>
        <w:rFonts w:ascii="Cambria" w:eastAsia="Cambria" w:hAnsi="Cambria" w:cs="Cambria"/>
        <w:noProof/>
        <w:color w:val="555555"/>
        <w:sz w:val="17"/>
        <w:szCs w:val="17"/>
      </w:rPr>
      <w:t>1</w:t>
    </w:r>
    <w:r>
      <w:rPr>
        <w:rFonts w:ascii="Cambria" w:eastAsia="Cambria" w:hAnsi="Cambria" w:cs="Cambria"/>
        <w:color w:val="555555"/>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C8268" w14:textId="77777777" w:rsidR="00507BDB" w:rsidRDefault="00507BDB">
      <w:r>
        <w:separator/>
      </w:r>
    </w:p>
  </w:footnote>
  <w:footnote w:type="continuationSeparator" w:id="0">
    <w:p w14:paraId="6750EB65" w14:textId="77777777" w:rsidR="00507BDB" w:rsidRDefault="00507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E53D4" w14:textId="77777777" w:rsidR="00CB336C" w:rsidRDefault="00507BDB">
    <w:pPr>
      <w:pBdr>
        <w:bottom w:val="single" w:sz="4" w:space="4" w:color="9A9A9A"/>
      </w:pBdr>
      <w:jc w:val="right"/>
    </w:pPr>
    <w:r>
      <w:rPr>
        <w:rFonts w:ascii="Cambria" w:eastAsia="Cambria" w:hAnsi="Cambria" w:cs="Cambria"/>
        <w:caps/>
        <w:color w:val="555555"/>
        <w:spacing w:val="30"/>
        <w:sz w:val="15"/>
        <w:szCs w:val="15"/>
      </w:rPr>
      <w:t>Electromagnetic Force Protection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C1ACD"/>
    <w:multiLevelType w:val="hybridMultilevel"/>
    <w:tmpl w:val="BCC8F118"/>
    <w:lvl w:ilvl="0" w:tplc="B33ED3F6">
      <w:start w:val="1"/>
      <w:numFmt w:val="decimal"/>
      <w:lvlText w:val="%1."/>
      <w:lvlJc w:val="left"/>
      <w:pPr>
        <w:ind w:left="400" w:hanging="256"/>
      </w:pPr>
    </w:lvl>
    <w:lvl w:ilvl="1" w:tplc="37CAA402">
      <w:numFmt w:val="decimal"/>
      <w:lvlText w:val=""/>
      <w:lvlJc w:val="left"/>
    </w:lvl>
    <w:lvl w:ilvl="2" w:tplc="654C822A">
      <w:numFmt w:val="decimal"/>
      <w:lvlText w:val=""/>
      <w:lvlJc w:val="left"/>
    </w:lvl>
    <w:lvl w:ilvl="3" w:tplc="226CCD1C">
      <w:numFmt w:val="decimal"/>
      <w:lvlText w:val=""/>
      <w:lvlJc w:val="left"/>
    </w:lvl>
    <w:lvl w:ilvl="4" w:tplc="5BD8D768">
      <w:numFmt w:val="decimal"/>
      <w:lvlText w:val=""/>
      <w:lvlJc w:val="left"/>
    </w:lvl>
    <w:lvl w:ilvl="5" w:tplc="67DAAADC">
      <w:numFmt w:val="decimal"/>
      <w:lvlText w:val=""/>
      <w:lvlJc w:val="left"/>
    </w:lvl>
    <w:lvl w:ilvl="6" w:tplc="3392CFB2">
      <w:numFmt w:val="decimal"/>
      <w:lvlText w:val=""/>
      <w:lvlJc w:val="left"/>
    </w:lvl>
    <w:lvl w:ilvl="7" w:tplc="6F5487EE">
      <w:numFmt w:val="decimal"/>
      <w:lvlText w:val=""/>
      <w:lvlJc w:val="left"/>
    </w:lvl>
    <w:lvl w:ilvl="8" w:tplc="2B50E0AE">
      <w:numFmt w:val="decimal"/>
      <w:lvlText w:val=""/>
      <w:lvlJc w:val="left"/>
    </w:lvl>
  </w:abstractNum>
  <w:abstractNum w:abstractNumId="1" w15:restartNumberingAfterBreak="0">
    <w:nsid w:val="377418B2"/>
    <w:multiLevelType w:val="hybridMultilevel"/>
    <w:tmpl w:val="24FAF1B8"/>
    <w:lvl w:ilvl="0" w:tplc="BFEEA648">
      <w:start w:val="1"/>
      <w:numFmt w:val="bullet"/>
      <w:lvlText w:val="●"/>
      <w:lvlJc w:val="left"/>
      <w:pPr>
        <w:ind w:left="720" w:hanging="360"/>
      </w:pPr>
    </w:lvl>
    <w:lvl w:ilvl="1" w:tplc="B136E45C">
      <w:start w:val="1"/>
      <w:numFmt w:val="bullet"/>
      <w:lvlText w:val="○"/>
      <w:lvlJc w:val="left"/>
      <w:pPr>
        <w:ind w:left="1440" w:hanging="360"/>
      </w:pPr>
    </w:lvl>
    <w:lvl w:ilvl="2" w:tplc="3CF87998">
      <w:start w:val="1"/>
      <w:numFmt w:val="bullet"/>
      <w:lvlText w:val="■"/>
      <w:lvlJc w:val="left"/>
      <w:pPr>
        <w:ind w:left="2160" w:hanging="360"/>
      </w:pPr>
    </w:lvl>
    <w:lvl w:ilvl="3" w:tplc="2AFA0DD2">
      <w:start w:val="1"/>
      <w:numFmt w:val="bullet"/>
      <w:lvlText w:val="●"/>
      <w:lvlJc w:val="left"/>
      <w:pPr>
        <w:ind w:left="2880" w:hanging="360"/>
      </w:pPr>
    </w:lvl>
    <w:lvl w:ilvl="4" w:tplc="70F4DD3E">
      <w:start w:val="1"/>
      <w:numFmt w:val="bullet"/>
      <w:lvlText w:val="○"/>
      <w:lvlJc w:val="left"/>
      <w:pPr>
        <w:ind w:left="3600" w:hanging="360"/>
      </w:pPr>
    </w:lvl>
    <w:lvl w:ilvl="5" w:tplc="41968F3C">
      <w:start w:val="1"/>
      <w:numFmt w:val="bullet"/>
      <w:lvlText w:val="■"/>
      <w:lvlJc w:val="left"/>
      <w:pPr>
        <w:ind w:left="4320" w:hanging="360"/>
      </w:pPr>
    </w:lvl>
    <w:lvl w:ilvl="6" w:tplc="7B90E478">
      <w:start w:val="1"/>
      <w:numFmt w:val="bullet"/>
      <w:lvlText w:val="●"/>
      <w:lvlJc w:val="left"/>
      <w:pPr>
        <w:ind w:left="5040" w:hanging="360"/>
      </w:pPr>
    </w:lvl>
    <w:lvl w:ilvl="7" w:tplc="8984EFD2">
      <w:start w:val="1"/>
      <w:numFmt w:val="bullet"/>
      <w:lvlText w:val="●"/>
      <w:lvlJc w:val="left"/>
      <w:pPr>
        <w:ind w:left="5760" w:hanging="360"/>
      </w:pPr>
    </w:lvl>
    <w:lvl w:ilvl="8" w:tplc="088C4878">
      <w:start w:val="1"/>
      <w:numFmt w:val="bullet"/>
      <w:lvlText w:val="●"/>
      <w:lvlJc w:val="left"/>
      <w:pPr>
        <w:ind w:left="6480" w:hanging="360"/>
      </w:pPr>
    </w:lvl>
  </w:abstractNum>
  <w:abstractNum w:abstractNumId="2" w15:restartNumberingAfterBreak="0">
    <w:nsid w:val="61D27190"/>
    <w:multiLevelType w:val="hybridMultilevel"/>
    <w:tmpl w:val="E68069C2"/>
    <w:lvl w:ilvl="0" w:tplc="9B6E5D34">
      <w:start w:val="1"/>
      <w:numFmt w:val="bullet"/>
      <w:lvlText w:val="•"/>
      <w:lvlJc w:val="left"/>
      <w:pPr>
        <w:ind w:left="360" w:hanging="216"/>
      </w:pPr>
    </w:lvl>
    <w:lvl w:ilvl="1" w:tplc="FDA8CD88">
      <w:numFmt w:val="decimal"/>
      <w:lvlText w:val=""/>
      <w:lvlJc w:val="left"/>
    </w:lvl>
    <w:lvl w:ilvl="2" w:tplc="7F5A15C6">
      <w:numFmt w:val="decimal"/>
      <w:lvlText w:val=""/>
      <w:lvlJc w:val="left"/>
    </w:lvl>
    <w:lvl w:ilvl="3" w:tplc="965E20B8">
      <w:numFmt w:val="decimal"/>
      <w:lvlText w:val=""/>
      <w:lvlJc w:val="left"/>
    </w:lvl>
    <w:lvl w:ilvl="4" w:tplc="BBBCB5D6">
      <w:numFmt w:val="decimal"/>
      <w:lvlText w:val=""/>
      <w:lvlJc w:val="left"/>
    </w:lvl>
    <w:lvl w:ilvl="5" w:tplc="541AF7B0">
      <w:numFmt w:val="decimal"/>
      <w:lvlText w:val=""/>
      <w:lvlJc w:val="left"/>
    </w:lvl>
    <w:lvl w:ilvl="6" w:tplc="E04666E2">
      <w:numFmt w:val="decimal"/>
      <w:lvlText w:val=""/>
      <w:lvlJc w:val="left"/>
    </w:lvl>
    <w:lvl w:ilvl="7" w:tplc="62A48B88">
      <w:numFmt w:val="decimal"/>
      <w:lvlText w:val=""/>
      <w:lvlJc w:val="left"/>
    </w:lvl>
    <w:lvl w:ilvl="8" w:tplc="7318FD9A">
      <w:numFmt w:val="decimal"/>
      <w:lvlText w:val=""/>
      <w:lvlJc w:val="left"/>
    </w:lvl>
  </w:abstractNum>
  <w:num w:numId="1" w16cid:durableId="95821943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yNDIxsjQ0MrQwMjFW0lEKTi0uzszPAykwqgUALw10liwAAAA="/>
  </w:docVars>
  <w:rsids>
    <w:rsidRoot w:val="00CB336C"/>
    <w:rsid w:val="002C0AD8"/>
    <w:rsid w:val="00376E29"/>
    <w:rsid w:val="0049576A"/>
    <w:rsid w:val="004A0A80"/>
    <w:rsid w:val="00507BDB"/>
    <w:rsid w:val="006E2DB6"/>
    <w:rsid w:val="007C19D8"/>
    <w:rsid w:val="00843225"/>
    <w:rsid w:val="008C6927"/>
    <w:rsid w:val="009F1698"/>
    <w:rsid w:val="00A43E19"/>
    <w:rsid w:val="00AC0A53"/>
    <w:rsid w:val="00B71B01"/>
    <w:rsid w:val="00CB336C"/>
    <w:rsid w:val="00D02E38"/>
    <w:rsid w:val="00E273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E5377"/>
  <w15:docId w15:val="{14915A6F-2DA8-4F28-82A6-CA77829D0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71B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docs.live.net/b239739678da2249/Documents/csis.org/analysis/lessons-ukraine-conflict-modern-warfare-age-autonomy-information-and-resilience" TargetMode="External"/><Relationship Id="rId13" Type="http://schemas.openxmlformats.org/officeDocument/2006/relationships/hyperlink" Target="https://d.docs.live.net/b239739678da2249/Documents/rusi.org/explore-our-research/publications/occasional-papers/competitive-electronic-warfare-modern-land-operation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docs.live.net/b239739678da2249/Documents/congress.gov/crs_external_products/R/PDF/R45919/R45919.1.pdf" TargetMode="External"/><Relationship Id="rId12" Type="http://schemas.openxmlformats.org/officeDocument/2006/relationships/hyperlink" Target="https://www.afcea.org/signal-media/iraq-hones-army-electronic-warfare" TargetMode="External"/><Relationship Id="rId17" Type="http://schemas.openxmlformats.org/officeDocument/2006/relationships/hyperlink" Target="https://d.docs.live.net/b239739678da2249/Documents/jedonline.com/2025/05/15/nato-seeks-solutions-for-fiber-optic-fpv-drones" TargetMode="External"/><Relationship Id="rId2" Type="http://schemas.openxmlformats.org/officeDocument/2006/relationships/styles" Target="styles.xml"/><Relationship Id="rId16" Type="http://schemas.openxmlformats.org/officeDocument/2006/relationships/hyperlink" Target="https://d.docs.live.net/b239739678da2249/Documents/pravda.com.ua/eng/articles/2025/01/13/7493257"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docs.live.net/b239739678da2249/Documents/csis.org/analysis/afghan-and-iraqi-metrics-and-ied-threat" TargetMode="External"/><Relationship Id="rId5" Type="http://schemas.openxmlformats.org/officeDocument/2006/relationships/footnotes" Target="footnotes.xml"/><Relationship Id="rId15" Type="http://schemas.openxmlformats.org/officeDocument/2006/relationships/hyperlink" Target="https://d.docs.live.net/b239739678da2249/Documents/csis.org/analysis/conflict-focus-lessons-russia-ukraine" TargetMode="External"/><Relationship Id="rId10" Type="http://schemas.openxmlformats.org/officeDocument/2006/relationships/hyperlink" Target="https://d.docs.live.net/b239739678da2249/Documents/militarnyi.com/en/news/nato-shows-interest-in-ukrainian-acoustic-detection-networks-for-air-defense"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pi.army.mil/e2/c/downloads/2026/04/30/af450e75/no-26-1115-listening-to-the-sky-acoustic-drone-detection-in-ukraine-mar-26.pdf" TargetMode="External"/><Relationship Id="rId14" Type="http://schemas.openxmlformats.org/officeDocument/2006/relationships/hyperlink" Target="https://d.docs.live.net/b239739678da2249/Documents/rusi.org/explore-our-research/publications/special-resources/meatgrinder-russian-tactics-second-year-its-invasion-ukra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3082</Words>
  <Characters>17574</Characters>
  <Application>Microsoft Office Word</Application>
  <DocSecurity>0</DocSecurity>
  <Lines>146</Lines>
  <Paragraphs>41</Paragraphs>
  <ScaleCrop>false</ScaleCrop>
  <Company/>
  <LinksUpToDate>false</LinksUpToDate>
  <CharactersWithSpaces>20615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Electromagnetic Force Protection</dc:title>
  <dc:creator>Concept paper</dc:creator>
  <cp:lastModifiedBy>Jeremy Stredwick</cp:lastModifiedBy>
  <cp:revision>2</cp:revision>
  <cp:lastPrinted>2026-09-07T00:02:00Z</cp:lastPrinted>
  <dcterms:created xsi:type="dcterms:W3CDTF">2026-09-19T03:37:00Z</dcterms:created>
  <dcterms:modified xsi:type="dcterms:W3CDTF">2026-09-19T03:37:00Z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5f984a9a-c0fe-4fd5-84c5-1faf723484d7</vt:lpwstr>
  </property>
</Properties>
</file>